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0F5" w:rsidRDefault="008F50F5">
      <w:pPr>
        <w:pStyle w:val="Tekstpodstawowy"/>
        <w:rPr>
          <w:rFonts w:ascii="Times New Roman"/>
          <w:sz w:val="18"/>
        </w:rPr>
      </w:pPr>
    </w:p>
    <w:p w:rsidR="008F50F5" w:rsidRDefault="008F50F5">
      <w:pPr>
        <w:pStyle w:val="Tekstpodstawowy"/>
        <w:spacing w:before="180"/>
        <w:rPr>
          <w:rFonts w:ascii="Times New Roman"/>
          <w:sz w:val="18"/>
        </w:rPr>
      </w:pPr>
    </w:p>
    <w:p w:rsidR="008F50F5" w:rsidRDefault="009A305D">
      <w:pPr>
        <w:ind w:left="65"/>
        <w:rPr>
          <w:sz w:val="18"/>
        </w:rPr>
      </w:pPr>
      <w:r>
        <w:rPr>
          <w:color w:val="231F20"/>
          <w:w w:val="110"/>
          <w:sz w:val="24"/>
        </w:rPr>
        <w:t>58</w:t>
      </w:r>
      <w:r>
        <w:rPr>
          <w:color w:val="231F20"/>
          <w:spacing w:val="29"/>
          <w:w w:val="130"/>
          <w:sz w:val="24"/>
        </w:rPr>
        <w:t xml:space="preserve"> </w:t>
      </w:r>
      <w:r>
        <w:rPr>
          <w:color w:val="231F20"/>
          <w:w w:val="130"/>
          <w:position w:val="2"/>
          <w:sz w:val="24"/>
        </w:rPr>
        <w:t>/</w:t>
      </w:r>
      <w:r>
        <w:rPr>
          <w:color w:val="231F20"/>
          <w:spacing w:val="-11"/>
          <w:w w:val="130"/>
          <w:position w:val="2"/>
          <w:sz w:val="24"/>
        </w:rPr>
        <w:t xml:space="preserve"> </w:t>
      </w:r>
      <w:r w:rsidR="00215CE5">
        <w:rPr>
          <w:color w:val="231F20"/>
          <w:spacing w:val="12"/>
          <w:w w:val="110"/>
          <w:sz w:val="18"/>
        </w:rPr>
        <w:t>Optometry</w:t>
      </w:r>
    </w:p>
    <w:p w:rsidR="008F50F5" w:rsidRPr="00040B90" w:rsidRDefault="00C87B9A">
      <w:pPr>
        <w:spacing w:before="37" w:line="232" w:lineRule="auto"/>
        <w:ind w:left="284"/>
        <w:rPr>
          <w:sz w:val="88"/>
          <w:szCs w:val="88"/>
        </w:rPr>
      </w:pPr>
      <w:r w:rsidRPr="00040B90">
        <w:rPr>
          <w:rFonts w:ascii="Calibri" w:hAnsi="Calibri"/>
          <w:b/>
          <w:color w:val="F5821F"/>
          <w:sz w:val="88"/>
          <w:szCs w:val="88"/>
        </w:rPr>
        <w:t>Iridological Analysis as a Complement to Anterior Segment Diagnostics?</w:t>
      </w:r>
    </w:p>
    <w:p w:rsidR="008F50F5" w:rsidRDefault="008F50F5">
      <w:pPr>
        <w:pStyle w:val="Tekstpodstawowy"/>
        <w:rPr>
          <w:sz w:val="20"/>
        </w:rPr>
      </w:pPr>
    </w:p>
    <w:p w:rsidR="008F50F5" w:rsidRDefault="008F50F5">
      <w:pPr>
        <w:pStyle w:val="Tekstpodstawowy"/>
        <w:rPr>
          <w:sz w:val="20"/>
        </w:rPr>
      </w:pPr>
    </w:p>
    <w:p w:rsidR="008F50F5" w:rsidRDefault="008F50F5">
      <w:pPr>
        <w:pStyle w:val="Tekstpodstawowy"/>
        <w:rPr>
          <w:sz w:val="20"/>
        </w:rPr>
      </w:pPr>
    </w:p>
    <w:p w:rsidR="008F50F5" w:rsidRDefault="008F50F5">
      <w:pPr>
        <w:pStyle w:val="Tekstpodstawowy"/>
        <w:rPr>
          <w:sz w:val="20"/>
        </w:rPr>
      </w:pPr>
    </w:p>
    <w:p w:rsidR="008F50F5" w:rsidRDefault="008F50F5">
      <w:pPr>
        <w:pStyle w:val="Tekstpodstawowy"/>
        <w:rPr>
          <w:sz w:val="20"/>
        </w:rPr>
      </w:pPr>
    </w:p>
    <w:p w:rsidR="008F50F5" w:rsidRDefault="008F50F5">
      <w:pPr>
        <w:pStyle w:val="Tekstpodstawowy"/>
        <w:rPr>
          <w:sz w:val="20"/>
        </w:rPr>
      </w:pPr>
    </w:p>
    <w:p w:rsidR="008F50F5" w:rsidRDefault="008F50F5">
      <w:pPr>
        <w:pStyle w:val="Tekstpodstawowy"/>
        <w:rPr>
          <w:sz w:val="20"/>
        </w:rPr>
      </w:pPr>
    </w:p>
    <w:p w:rsidR="008F50F5" w:rsidRDefault="008F50F5">
      <w:pPr>
        <w:pStyle w:val="Tekstpodstawowy"/>
        <w:rPr>
          <w:sz w:val="20"/>
        </w:rPr>
      </w:pPr>
    </w:p>
    <w:p w:rsidR="008F50F5" w:rsidRDefault="008F50F5">
      <w:pPr>
        <w:pStyle w:val="Tekstpodstawowy"/>
        <w:rPr>
          <w:sz w:val="20"/>
        </w:rPr>
        <w:sectPr w:rsidR="008F50F5">
          <w:type w:val="continuous"/>
          <w:pgSz w:w="13040" w:h="17010"/>
          <w:pgMar w:top="0" w:right="566" w:bottom="0" w:left="566" w:header="708" w:footer="708" w:gutter="0"/>
          <w:cols w:space="708"/>
        </w:sectPr>
      </w:pPr>
    </w:p>
    <w:p w:rsidR="008F50F5" w:rsidRDefault="009A305D">
      <w:pPr>
        <w:spacing w:before="99"/>
        <w:ind w:left="295"/>
        <w:rPr>
          <w:sz w:val="20"/>
        </w:rPr>
      </w:pPr>
      <w:r>
        <w:rPr>
          <w:noProof/>
          <w:sz w:val="20"/>
          <w:lang w:eastAsia="pl-PL"/>
        </w:rPr>
        <w:lastRenderedPageBreak/>
        <mc:AlternateContent>
          <mc:Choice Requires="wps">
            <w:drawing>
              <wp:anchor distT="0" distB="0" distL="0" distR="0" simplePos="0" relativeHeight="15730176" behindDoc="0" locked="0" layoutInCell="1" allowOverlap="1" wp14:anchorId="39BC8F70" wp14:editId="11D79E4C">
                <wp:simplePos x="0" y="0"/>
                <wp:positionH relativeFrom="page">
                  <wp:posOffset>428396</wp:posOffset>
                </wp:positionH>
                <wp:positionV relativeFrom="paragraph">
                  <wp:posOffset>104534</wp:posOffset>
                </wp:positionV>
                <wp:extent cx="62230" cy="1339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133985"/>
                        </a:xfrm>
                        <a:custGeom>
                          <a:avLst/>
                          <a:gdLst/>
                          <a:ahLst/>
                          <a:cxnLst/>
                          <a:rect l="l" t="t" r="r" b="b"/>
                          <a:pathLst>
                            <a:path w="62230" h="133985">
                              <a:moveTo>
                                <a:pt x="61963" y="90932"/>
                              </a:moveTo>
                              <a:lnTo>
                                <a:pt x="59232" y="81038"/>
                              </a:lnTo>
                              <a:lnTo>
                                <a:pt x="59232" y="91681"/>
                              </a:lnTo>
                              <a:lnTo>
                                <a:pt x="55689" y="110515"/>
                              </a:lnTo>
                              <a:lnTo>
                                <a:pt x="40271" y="114757"/>
                              </a:lnTo>
                              <a:lnTo>
                                <a:pt x="27660" y="100355"/>
                              </a:lnTo>
                              <a:lnTo>
                                <a:pt x="36118" y="98031"/>
                              </a:lnTo>
                              <a:lnTo>
                                <a:pt x="59232" y="91681"/>
                              </a:lnTo>
                              <a:lnTo>
                                <a:pt x="59232" y="81038"/>
                              </a:lnTo>
                              <a:lnTo>
                                <a:pt x="58889" y="79781"/>
                              </a:lnTo>
                              <a:lnTo>
                                <a:pt x="58889" y="89192"/>
                              </a:lnTo>
                              <a:lnTo>
                                <a:pt x="48082" y="92176"/>
                              </a:lnTo>
                              <a:lnTo>
                                <a:pt x="45669" y="83400"/>
                              </a:lnTo>
                              <a:lnTo>
                                <a:pt x="45669" y="92837"/>
                              </a:lnTo>
                              <a:lnTo>
                                <a:pt x="39268" y="94589"/>
                              </a:lnTo>
                              <a:lnTo>
                                <a:pt x="36855" y="85813"/>
                              </a:lnTo>
                              <a:lnTo>
                                <a:pt x="36855" y="95250"/>
                              </a:lnTo>
                              <a:lnTo>
                                <a:pt x="32232" y="96520"/>
                              </a:lnTo>
                              <a:lnTo>
                                <a:pt x="29819" y="87744"/>
                              </a:lnTo>
                              <a:lnTo>
                                <a:pt x="29819" y="97180"/>
                              </a:lnTo>
                              <a:lnTo>
                                <a:pt x="26720" y="98031"/>
                              </a:lnTo>
                              <a:lnTo>
                                <a:pt x="3073" y="11899"/>
                              </a:lnTo>
                              <a:lnTo>
                                <a:pt x="6159" y="11061"/>
                              </a:lnTo>
                              <a:lnTo>
                                <a:pt x="29819" y="97180"/>
                              </a:lnTo>
                              <a:lnTo>
                                <a:pt x="29819" y="87744"/>
                              </a:lnTo>
                              <a:lnTo>
                                <a:pt x="8572" y="10401"/>
                              </a:lnTo>
                              <a:lnTo>
                                <a:pt x="13195" y="9131"/>
                              </a:lnTo>
                              <a:lnTo>
                                <a:pt x="36855" y="95250"/>
                              </a:lnTo>
                              <a:lnTo>
                                <a:pt x="36855" y="85813"/>
                              </a:lnTo>
                              <a:lnTo>
                                <a:pt x="15608" y="8470"/>
                              </a:lnTo>
                              <a:lnTo>
                                <a:pt x="22009" y="6718"/>
                              </a:lnTo>
                              <a:lnTo>
                                <a:pt x="45669" y="92837"/>
                              </a:lnTo>
                              <a:lnTo>
                                <a:pt x="45669" y="83400"/>
                              </a:lnTo>
                              <a:lnTo>
                                <a:pt x="24422" y="6057"/>
                              </a:lnTo>
                              <a:lnTo>
                                <a:pt x="35242" y="3073"/>
                              </a:lnTo>
                              <a:lnTo>
                                <a:pt x="58889" y="89192"/>
                              </a:lnTo>
                              <a:lnTo>
                                <a:pt x="58889" y="79781"/>
                              </a:lnTo>
                              <a:lnTo>
                                <a:pt x="37820" y="3073"/>
                              </a:lnTo>
                              <a:lnTo>
                                <a:pt x="36982" y="0"/>
                              </a:lnTo>
                              <a:lnTo>
                                <a:pt x="0" y="10160"/>
                              </a:lnTo>
                              <a:lnTo>
                                <a:pt x="24942" y="100977"/>
                              </a:lnTo>
                              <a:lnTo>
                                <a:pt x="53809" y="133972"/>
                              </a:lnTo>
                              <a:lnTo>
                                <a:pt x="61912" y="90957"/>
                              </a:lnTo>
                              <a:close/>
                            </a:path>
                          </a:pathLst>
                        </a:custGeom>
                        <a:solidFill>
                          <a:srgbClr val="231F2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3.732002pt;margin-top:8.231027pt;width:4.9pt;height:10.55pt;mso-position-horizontal-relative:page;mso-position-vertical-relative:paragraph;z-index:15730176" id="docshape1" coordorigin="675,165" coordsize="98,211" path="m772,308l768,292,768,309,762,339,738,345,718,323,732,319,768,309,768,292,767,290,767,305,750,310,747,296,747,311,736,314,733,300,733,315,725,317,722,303,722,318,717,319,679,183,684,182,722,318,722,303,688,181,695,179,733,315,733,300,699,178,709,175,747,311,747,296,713,174,730,169,767,305,767,290,734,169,733,165,675,181,714,324,759,376,772,308xe" filled="true" fillcolor="#231f20" stroked="false">
                <v:path arrowok="t"/>
                <v:fill type="solid"/>
                <w10:wrap type="none"/>
              </v:shape>
            </w:pict>
          </mc:Fallback>
        </mc:AlternateContent>
      </w:r>
      <w:r>
        <w:rPr>
          <w:noProof/>
          <w:sz w:val="20"/>
          <w:lang w:eastAsia="pl-PL"/>
        </w:rPr>
        <w:drawing>
          <wp:anchor distT="0" distB="0" distL="0" distR="0" simplePos="0" relativeHeight="15730688" behindDoc="0" locked="0" layoutInCell="1" allowOverlap="1" wp14:anchorId="17E07E96" wp14:editId="1A650415">
            <wp:simplePos x="0" y="0"/>
            <wp:positionH relativeFrom="page">
              <wp:posOffset>2859227</wp:posOffset>
            </wp:positionH>
            <wp:positionV relativeFrom="paragraph">
              <wp:posOffset>-1109966</wp:posOffset>
            </wp:positionV>
            <wp:extent cx="1239278" cy="159061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239278" cy="1590611"/>
                    </a:xfrm>
                    <a:prstGeom prst="rect">
                      <a:avLst/>
                    </a:prstGeom>
                  </pic:spPr>
                </pic:pic>
              </a:graphicData>
            </a:graphic>
          </wp:anchor>
        </w:drawing>
      </w:r>
      <w:r>
        <w:rPr>
          <w:noProof/>
          <w:sz w:val="20"/>
          <w:lang w:eastAsia="pl-PL"/>
        </w:rPr>
        <mc:AlternateContent>
          <mc:Choice Requires="wps">
            <w:drawing>
              <wp:anchor distT="0" distB="0" distL="0" distR="0" simplePos="0" relativeHeight="15731200" behindDoc="0" locked="0" layoutInCell="1" allowOverlap="1" wp14:anchorId="305A46F6" wp14:editId="12612117">
                <wp:simplePos x="0" y="0"/>
                <wp:positionH relativeFrom="page">
                  <wp:posOffset>2738233</wp:posOffset>
                </wp:positionH>
                <wp:positionV relativeFrom="paragraph">
                  <wp:posOffset>-112099</wp:posOffset>
                </wp:positionV>
                <wp:extent cx="103505" cy="6115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611505"/>
                        </a:xfrm>
                        <a:prstGeom prst="rect">
                          <a:avLst/>
                        </a:prstGeom>
                      </wps:spPr>
                      <wps:txbx>
                        <w:txbxContent>
                          <w:p w:rsidR="008F50F5" w:rsidRDefault="009A305D">
                            <w:pPr>
                              <w:spacing w:before="14"/>
                              <w:ind w:left="20"/>
                              <w:rPr>
                                <w:sz w:val="11"/>
                              </w:rPr>
                            </w:pPr>
                            <w:r>
                              <w:rPr>
                                <w:color w:val="231F20"/>
                                <w:w w:val="85"/>
                                <w:sz w:val="11"/>
                              </w:rPr>
                              <w:t>Foto:</w:t>
                            </w:r>
                            <w:r>
                              <w:rPr>
                                <w:color w:val="231F20"/>
                                <w:sz w:val="11"/>
                              </w:rPr>
                              <w:t xml:space="preserve"> </w:t>
                            </w:r>
                            <w:r>
                              <w:rPr>
                                <w:color w:val="231F20"/>
                                <w:w w:val="85"/>
                                <w:sz w:val="11"/>
                              </w:rPr>
                              <w:t>archiwum</w:t>
                            </w:r>
                            <w:r>
                              <w:rPr>
                                <w:color w:val="231F20"/>
                                <w:spacing w:val="-1"/>
                                <w:sz w:val="11"/>
                              </w:rPr>
                              <w:t xml:space="preserve"> </w:t>
                            </w:r>
                            <w:r>
                              <w:rPr>
                                <w:color w:val="231F20"/>
                                <w:spacing w:val="-2"/>
                                <w:w w:val="85"/>
                                <w:sz w:val="11"/>
                              </w:rPr>
                              <w:t>Autorki</w:t>
                            </w:r>
                          </w:p>
                        </w:txbxContent>
                      </wps:txbx>
                      <wps:bodyPr vert="vert270"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215.608902pt;margin-top:-8.826752pt;width:8.15pt;height:48.15pt;mso-position-horizontal-relative:page;mso-position-vertical-relative:paragraph;z-index:15731200" type="#_x0000_t202" id="docshape2" filled="false" stroked="false">
                <v:textbox inset="0,0,0,0" style="layout-flow:vertical;mso-layout-flow-alt:bottom-to-top">
                  <w:txbxContent>
                    <w:p>
                      <w:pPr>
                        <w:spacing w:before="14"/>
                        <w:ind w:left="20" w:right="0" w:firstLine="0"/>
                        <w:jc w:val="left"/>
                        <w:rPr>
                          <w:sz w:val="11"/>
                        </w:rPr>
                      </w:pPr>
                      <w:r>
                        <w:rPr>
                          <w:color w:val="231F20"/>
                          <w:w w:val="85"/>
                          <w:sz w:val="11"/>
                        </w:rPr>
                        <w:t>Foto:</w:t>
                      </w:r>
                      <w:r>
                        <w:rPr>
                          <w:color w:val="231F20"/>
                          <w:sz w:val="11"/>
                        </w:rPr>
                        <w:t> </w:t>
                      </w:r>
                      <w:r>
                        <w:rPr>
                          <w:color w:val="231F20"/>
                          <w:w w:val="85"/>
                          <w:sz w:val="11"/>
                        </w:rPr>
                        <w:t>archiwum</w:t>
                      </w:r>
                      <w:r>
                        <w:rPr>
                          <w:color w:val="231F20"/>
                          <w:spacing w:val="-1"/>
                          <w:sz w:val="11"/>
                        </w:rPr>
                        <w:t> </w:t>
                      </w:r>
                      <w:r>
                        <w:rPr>
                          <w:color w:val="231F20"/>
                          <w:spacing w:val="-2"/>
                          <w:w w:val="85"/>
                          <w:sz w:val="11"/>
                        </w:rPr>
                        <w:t>Autorki</w:t>
                      </w:r>
                    </w:p>
                  </w:txbxContent>
                </v:textbox>
                <w10:wrap type="none"/>
              </v:shape>
            </w:pict>
          </mc:Fallback>
        </mc:AlternateContent>
      </w:r>
      <w:r>
        <w:rPr>
          <w:color w:val="231F20"/>
          <w:spacing w:val="-2"/>
          <w:w w:val="80"/>
          <w:sz w:val="20"/>
        </w:rPr>
        <w:t>MONIKA</w:t>
      </w:r>
      <w:r>
        <w:rPr>
          <w:color w:val="231F20"/>
          <w:spacing w:val="-6"/>
          <w:w w:val="80"/>
          <w:sz w:val="20"/>
        </w:rPr>
        <w:t xml:space="preserve"> </w:t>
      </w:r>
      <w:r>
        <w:rPr>
          <w:color w:val="231F20"/>
          <w:spacing w:val="-2"/>
          <w:w w:val="90"/>
          <w:sz w:val="20"/>
        </w:rPr>
        <w:t>LUŻYŃSKA</w:t>
      </w:r>
    </w:p>
    <w:p w:rsidR="00215CE5" w:rsidRDefault="00215CE5" w:rsidP="00215CE5">
      <w:pPr>
        <w:pStyle w:val="Tekstpodstawowy"/>
        <w:spacing w:before="100"/>
        <w:rPr>
          <w:color w:val="231F20"/>
          <w:w w:val="90"/>
          <w:sz w:val="20"/>
          <w:szCs w:val="22"/>
        </w:rPr>
      </w:pPr>
      <w:r>
        <w:rPr>
          <w:color w:val="231F20"/>
          <w:w w:val="90"/>
          <w:sz w:val="20"/>
          <w:szCs w:val="22"/>
        </w:rPr>
        <w:t>Optician PNO13665, optometrist</w:t>
      </w:r>
    </w:p>
    <w:p w:rsidR="00215CE5" w:rsidRPr="00215CE5" w:rsidRDefault="00215CE5" w:rsidP="00215CE5">
      <w:pPr>
        <w:pStyle w:val="Tekstpodstawowy"/>
        <w:spacing w:before="100"/>
        <w:rPr>
          <w:color w:val="231F20"/>
          <w:w w:val="90"/>
          <w:sz w:val="20"/>
          <w:szCs w:val="22"/>
        </w:rPr>
      </w:pPr>
      <w:r w:rsidRPr="00215CE5">
        <w:rPr>
          <w:color w:val="231F20"/>
          <w:w w:val="90"/>
          <w:sz w:val="20"/>
          <w:szCs w:val="22"/>
        </w:rPr>
        <w:t>NO16113 iridologist, journeyman</w:t>
      </w:r>
    </w:p>
    <w:p w:rsidR="008F50F5" w:rsidRDefault="00215CE5" w:rsidP="00215CE5">
      <w:pPr>
        <w:pStyle w:val="Tekstpodstawowy"/>
        <w:spacing w:before="100"/>
        <w:rPr>
          <w:sz w:val="20"/>
        </w:rPr>
      </w:pPr>
      <w:r w:rsidRPr="00215CE5">
        <w:rPr>
          <w:color w:val="231F20"/>
          <w:w w:val="90"/>
          <w:sz w:val="20"/>
          <w:szCs w:val="22"/>
        </w:rPr>
        <w:t xml:space="preserve">Naturopath </w:t>
      </w:r>
      <w:r w:rsidR="009A305D">
        <w:br w:type="column"/>
      </w:r>
    </w:p>
    <w:p w:rsidR="008F50F5" w:rsidRDefault="009A305D">
      <w:pPr>
        <w:ind w:left="108"/>
        <w:rPr>
          <w:sz w:val="20"/>
        </w:rPr>
      </w:pPr>
      <w:r>
        <w:rPr>
          <w:noProof/>
          <w:position w:val="-3"/>
          <w:lang w:eastAsia="pl-PL"/>
        </w:rPr>
        <w:drawing>
          <wp:inline distT="0" distB="0" distL="0" distR="0" wp14:anchorId="333F1B0A" wp14:editId="16FD2481">
            <wp:extent cx="61963" cy="13396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1963" cy="133965"/>
                    </a:xfrm>
                    <a:prstGeom prst="rect">
                      <a:avLst/>
                    </a:prstGeom>
                  </pic:spPr>
                </pic:pic>
              </a:graphicData>
            </a:graphic>
          </wp:inline>
        </w:drawing>
      </w:r>
      <w:r>
        <w:rPr>
          <w:rFonts w:ascii="Times New Roman"/>
          <w:spacing w:val="40"/>
          <w:sz w:val="20"/>
        </w:rPr>
        <w:t xml:space="preserve"> </w:t>
      </w:r>
      <w:r>
        <w:rPr>
          <w:color w:val="231F20"/>
          <w:w w:val="75"/>
          <w:sz w:val="20"/>
        </w:rPr>
        <w:t xml:space="preserve">KRZYSZTOF </w:t>
      </w:r>
      <w:r>
        <w:rPr>
          <w:color w:val="231F20"/>
          <w:w w:val="85"/>
          <w:sz w:val="20"/>
        </w:rPr>
        <w:t>KWELA</w:t>
      </w:r>
    </w:p>
    <w:p w:rsidR="008F50F5" w:rsidRDefault="009A305D" w:rsidP="00215CE5">
      <w:pPr>
        <w:spacing w:before="8"/>
        <w:rPr>
          <w:sz w:val="20"/>
        </w:rPr>
        <w:sectPr w:rsidR="008F50F5">
          <w:type w:val="continuous"/>
          <w:pgSz w:w="13040" w:h="17010"/>
          <w:pgMar w:top="0" w:right="566" w:bottom="0" w:left="566" w:header="708" w:footer="708" w:gutter="0"/>
          <w:cols w:num="2" w:space="708" w:equalWidth="0">
            <w:col w:w="5929" w:space="900"/>
            <w:col w:w="5079"/>
          </w:cols>
        </w:sectPr>
      </w:pPr>
      <w:r>
        <w:rPr>
          <w:noProof/>
          <w:sz w:val="20"/>
          <w:lang w:eastAsia="pl-PL"/>
        </w:rPr>
        <w:drawing>
          <wp:anchor distT="0" distB="0" distL="0" distR="0" simplePos="0" relativeHeight="15729664" behindDoc="0" locked="0" layoutInCell="1" allowOverlap="1" wp14:anchorId="086E227D" wp14:editId="042DBCAD">
            <wp:simplePos x="0" y="0"/>
            <wp:positionH relativeFrom="page">
              <wp:posOffset>6392722</wp:posOffset>
            </wp:positionH>
            <wp:positionV relativeFrom="paragraph">
              <wp:posOffset>-1466460</wp:posOffset>
            </wp:positionV>
            <wp:extent cx="1239278" cy="1590598"/>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239278" cy="1590598"/>
                    </a:xfrm>
                    <a:prstGeom prst="rect">
                      <a:avLst/>
                    </a:prstGeom>
                  </pic:spPr>
                </pic:pic>
              </a:graphicData>
            </a:graphic>
          </wp:anchor>
        </w:drawing>
      </w:r>
      <w:r>
        <w:rPr>
          <w:noProof/>
          <w:sz w:val="20"/>
          <w:lang w:eastAsia="pl-PL"/>
        </w:rPr>
        <mc:AlternateContent>
          <mc:Choice Requires="wps">
            <w:drawing>
              <wp:anchor distT="0" distB="0" distL="0" distR="0" simplePos="0" relativeHeight="15731712" behindDoc="0" locked="0" layoutInCell="1" allowOverlap="1" wp14:anchorId="69ABF337" wp14:editId="049E71EE">
                <wp:simplePos x="0" y="0"/>
                <wp:positionH relativeFrom="page">
                  <wp:posOffset>6271721</wp:posOffset>
                </wp:positionH>
                <wp:positionV relativeFrom="paragraph">
                  <wp:posOffset>-466811</wp:posOffset>
                </wp:positionV>
                <wp:extent cx="103505" cy="5975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597535"/>
                        </a:xfrm>
                        <a:prstGeom prst="rect">
                          <a:avLst/>
                        </a:prstGeom>
                      </wps:spPr>
                      <wps:txbx>
                        <w:txbxContent>
                          <w:p w:rsidR="008F50F5" w:rsidRDefault="009A305D">
                            <w:pPr>
                              <w:spacing w:before="14"/>
                              <w:ind w:left="20"/>
                              <w:rPr>
                                <w:sz w:val="11"/>
                              </w:rPr>
                            </w:pPr>
                            <w:r>
                              <w:rPr>
                                <w:color w:val="231F20"/>
                                <w:w w:val="85"/>
                                <w:sz w:val="11"/>
                              </w:rPr>
                              <w:t>Foto:</w:t>
                            </w:r>
                            <w:r>
                              <w:rPr>
                                <w:color w:val="231F20"/>
                                <w:sz w:val="11"/>
                              </w:rPr>
                              <w:t xml:space="preserve"> </w:t>
                            </w:r>
                            <w:r>
                              <w:rPr>
                                <w:color w:val="231F20"/>
                                <w:w w:val="85"/>
                                <w:sz w:val="11"/>
                              </w:rPr>
                              <w:t>archiwum</w:t>
                            </w:r>
                            <w:r>
                              <w:rPr>
                                <w:color w:val="231F20"/>
                                <w:spacing w:val="-1"/>
                                <w:sz w:val="11"/>
                              </w:rPr>
                              <w:t xml:space="preserve"> </w:t>
                            </w:r>
                            <w:r>
                              <w:rPr>
                                <w:color w:val="231F20"/>
                                <w:spacing w:val="-2"/>
                                <w:w w:val="85"/>
                                <w:sz w:val="11"/>
                              </w:rPr>
                              <w:t>Autora</w:t>
                            </w:r>
                          </w:p>
                        </w:txbxContent>
                      </wps:txbx>
                      <wps:bodyPr vert="vert270"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3.836304pt;margin-top:-36.756809pt;width:8.15pt;height:47.05pt;mso-position-horizontal-relative:page;mso-position-vertical-relative:paragraph;z-index:15731712" type="#_x0000_t202" id="docshape3" filled="false" stroked="false">
                <v:textbox inset="0,0,0,0" style="layout-flow:vertical;mso-layout-flow-alt:bottom-to-top">
                  <w:txbxContent>
                    <w:p>
                      <w:pPr>
                        <w:spacing w:before="14"/>
                        <w:ind w:left="20" w:right="0" w:firstLine="0"/>
                        <w:jc w:val="left"/>
                        <w:rPr>
                          <w:sz w:val="11"/>
                        </w:rPr>
                      </w:pPr>
                      <w:r>
                        <w:rPr>
                          <w:color w:val="231F20"/>
                          <w:w w:val="85"/>
                          <w:sz w:val="11"/>
                        </w:rPr>
                        <w:t>Foto:</w:t>
                      </w:r>
                      <w:r>
                        <w:rPr>
                          <w:color w:val="231F20"/>
                          <w:sz w:val="11"/>
                        </w:rPr>
                        <w:t> </w:t>
                      </w:r>
                      <w:r>
                        <w:rPr>
                          <w:color w:val="231F20"/>
                          <w:w w:val="85"/>
                          <w:sz w:val="11"/>
                        </w:rPr>
                        <w:t>archiwum</w:t>
                      </w:r>
                      <w:r>
                        <w:rPr>
                          <w:color w:val="231F20"/>
                          <w:spacing w:val="-1"/>
                          <w:sz w:val="11"/>
                        </w:rPr>
                        <w:t> </w:t>
                      </w:r>
                      <w:r>
                        <w:rPr>
                          <w:color w:val="231F20"/>
                          <w:spacing w:val="-2"/>
                          <w:w w:val="85"/>
                          <w:sz w:val="11"/>
                        </w:rPr>
                        <w:t>Autora</w:t>
                      </w:r>
                    </w:p>
                  </w:txbxContent>
                </v:textbox>
                <w10:wrap type="none"/>
              </v:shape>
            </w:pict>
          </mc:Fallback>
        </mc:AlternateContent>
      </w:r>
      <w:r w:rsidR="00215CE5" w:rsidRPr="00215CE5">
        <w:t xml:space="preserve"> </w:t>
      </w:r>
      <w:r w:rsidR="00215CE5" w:rsidRPr="00215CE5">
        <w:rPr>
          <w:color w:val="231F20"/>
          <w:spacing w:val="-4"/>
          <w:sz w:val="20"/>
        </w:rPr>
        <w:t>Surgeon, urologist, iridologist</w:t>
      </w:r>
    </w:p>
    <w:p w:rsidR="008F50F5" w:rsidRDefault="008F50F5">
      <w:pPr>
        <w:pStyle w:val="Tekstpodstawowy"/>
        <w:spacing w:before="192"/>
        <w:rPr>
          <w:sz w:val="20"/>
        </w:rPr>
      </w:pPr>
    </w:p>
    <w:p w:rsidR="008F50F5" w:rsidRDefault="008F50F5">
      <w:pPr>
        <w:pStyle w:val="Tekstpodstawowy"/>
        <w:rPr>
          <w:sz w:val="20"/>
        </w:rPr>
        <w:sectPr w:rsidR="008F50F5">
          <w:type w:val="continuous"/>
          <w:pgSz w:w="13040" w:h="17010"/>
          <w:pgMar w:top="0" w:right="566" w:bottom="0" w:left="566" w:header="708" w:footer="708" w:gutter="0"/>
          <w:cols w:space="708"/>
        </w:sectPr>
      </w:pPr>
    </w:p>
    <w:p w:rsidR="00040B90" w:rsidRPr="00540D1B" w:rsidRDefault="00040B90" w:rsidP="00540D1B">
      <w:pPr>
        <w:pStyle w:val="Tekstpodstawowy"/>
        <w:jc w:val="both"/>
      </w:pPr>
      <w:r w:rsidRPr="00540D1B">
        <w:lastRenderedPageBreak/>
        <w:t xml:space="preserve">As an optometrist and iridologist, I observe with great interest and satisfaction the growing attention being paid to iridology by vision care specialists. Outside Poland, iridology is widely recognized and respected as a diagnostic method [1]. The discipline has existed for over 150 years [2] and involves assessing an individual’s health status based on analysis of the iris appearance [2,3]. Unfortunately, in Poland it is still often associated with fortune-telling and superstition, a perception I find deeply regrettable. </w:t>
      </w:r>
    </w:p>
    <w:p w:rsidR="00040B90" w:rsidRPr="00540D1B" w:rsidRDefault="00040B90" w:rsidP="00540D1B">
      <w:pPr>
        <w:pStyle w:val="Tekstpodstawowy"/>
        <w:jc w:val="both"/>
      </w:pPr>
      <w:r w:rsidRPr="00540D1B">
        <w:t xml:space="preserve">Iridologists acquire their knowledge through specialized training courses, which are also available in Poland (physical iridology). In other countries, it is possible to study behavioral, clinical, and so-called integrated iridology - the latter combining knowledge from all individual branches [4,1]. Iridology as a discipline constitutes a part of naturopathy [1]. Thus, obtaining a comprehensive foundation in naturopathic medicine is desirable, typically through two-year programs culminating in a professional examination. Professional qualifications may also be formally recognized through the Guild. </w:t>
      </w:r>
    </w:p>
    <w:p w:rsidR="00040B90" w:rsidRPr="00540D1B" w:rsidRDefault="00040B90" w:rsidP="00540D1B">
      <w:pPr>
        <w:pStyle w:val="Tekstpodstawowy"/>
        <w:jc w:val="both"/>
      </w:pPr>
      <w:r w:rsidRPr="00540D1B">
        <w:t>I often compare iridology to autorefractometry - a quick and painless test that provides general information about the visual system but still requires refinement by a specialist using a trial frame and/or a phoropter. Similarly, iridology can reveal multiple indicators of general health; however, these findings should be confirmed through laboratory investigations and other specialized examinations [2,3].</w:t>
      </w:r>
    </w:p>
    <w:p w:rsidR="00040B90" w:rsidRPr="00540D1B" w:rsidRDefault="00040B90" w:rsidP="00540D1B">
      <w:pPr>
        <w:pStyle w:val="Tekstpodstawowy"/>
        <w:jc w:val="both"/>
      </w:pPr>
      <w:r w:rsidRPr="00540D1B">
        <w:t>By observing the anterior segment of the eye, including the iris, it is possible to analyze and interpret various signs, thereby supporting patients in managing their health. Moreover, the identification of so-called warning signs may prompt patients to undergo preventive examinations that can, in some cases, be lifesaving [2,3].</w:t>
      </w:r>
    </w:p>
    <w:p w:rsidR="008F50F5" w:rsidRPr="00040B90" w:rsidRDefault="00040B90" w:rsidP="00540D1B">
      <w:pPr>
        <w:pStyle w:val="Tekstpodstawowy"/>
        <w:jc w:val="both"/>
      </w:pPr>
      <w:r w:rsidRPr="00540D1B">
        <w:t>As an illustration, I present the case of my patient/client who, as a part of a preventive eye examination, reported ongoing thyroid problems (suspected but unconfirmed Hashimoto's disease). Her visual acuity was within normal limits (uncorrected visual acuity, Vis s.c. 1.0). While I was observing the iris during the examination, my attention was drawn to signs in the regions corresponding to the ovarian zone and the aforementioned thyroid zone. As the patient expressed a desire to gain further insight into her health predispositions, I proceeded to perform an iridological analysis.</w:t>
      </w:r>
      <w:r w:rsidR="009A305D" w:rsidRPr="00540D1B">
        <w:br w:type="column"/>
      </w:r>
      <w:r w:rsidRPr="00040B90">
        <w:rPr>
          <w:color w:val="F5821F"/>
          <w:spacing w:val="-6"/>
          <w:w w:val="90"/>
        </w:rPr>
        <w:lastRenderedPageBreak/>
        <w:t>Iridological analysis:</w:t>
      </w:r>
    </w:p>
    <w:p w:rsidR="008F50F5" w:rsidRDefault="00040B90">
      <w:pPr>
        <w:pStyle w:val="Nagwek2"/>
        <w:spacing w:before="11"/>
        <w:ind w:left="199"/>
        <w:jc w:val="left"/>
      </w:pPr>
      <w:r>
        <w:rPr>
          <w:color w:val="F5821F"/>
          <w:spacing w:val="-2"/>
        </w:rPr>
        <w:t>Female, 32</w:t>
      </w:r>
    </w:p>
    <w:p w:rsidR="008F50F5" w:rsidRDefault="009A305D">
      <w:pPr>
        <w:pStyle w:val="Tekstpodstawowy"/>
        <w:spacing w:before="10"/>
        <w:rPr>
          <w:i/>
          <w:sz w:val="5"/>
        </w:rPr>
      </w:pPr>
      <w:r>
        <w:rPr>
          <w:i/>
          <w:noProof/>
          <w:sz w:val="5"/>
          <w:lang w:eastAsia="pl-PL"/>
        </w:rPr>
        <mc:AlternateContent>
          <mc:Choice Requires="wps">
            <w:drawing>
              <wp:anchor distT="0" distB="0" distL="0" distR="0" simplePos="0" relativeHeight="487587840" behindDoc="1" locked="0" layoutInCell="1" allowOverlap="1" wp14:anchorId="4D856EFB" wp14:editId="12FF83E1">
                <wp:simplePos x="0" y="0"/>
                <wp:positionH relativeFrom="page">
                  <wp:posOffset>4162200</wp:posOffset>
                </wp:positionH>
                <wp:positionV relativeFrom="paragraph">
                  <wp:posOffset>58944</wp:posOffset>
                </wp:positionV>
                <wp:extent cx="3470275" cy="180022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0275" cy="1800225"/>
                          <a:chOff x="0" y="0"/>
                          <a:chExt cx="3470275" cy="1800225"/>
                        </a:xfrm>
                      </wpg:grpSpPr>
                      <pic:pic xmlns:pic="http://schemas.openxmlformats.org/drawingml/2006/picture">
                        <pic:nvPicPr>
                          <pic:cNvPr id="8" name="Image 8"/>
                          <pic:cNvPicPr/>
                        </pic:nvPicPr>
                        <pic:blipFill>
                          <a:blip r:embed="rId9" cstate="print"/>
                          <a:stretch>
                            <a:fillRect/>
                          </a:stretch>
                        </pic:blipFill>
                        <pic:spPr>
                          <a:xfrm>
                            <a:off x="0" y="0"/>
                            <a:ext cx="1770020" cy="1798802"/>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1800195" y="12"/>
                            <a:ext cx="1669604" cy="180000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27.7323pt;margin-top:4.641294pt;width:273.25pt;height:141.75pt;mso-position-horizontal-relative:page;mso-position-vertical-relative:paragraph;z-index:-15728640;mso-wrap-distance-left:0;mso-wrap-distance-right:0" id="docshapegroup4" coordorigin="6555,93" coordsize="5465,2835">
                <v:shape style="position:absolute;left:6554;top:92;width:2788;height:2833" type="#_x0000_t75" id="docshape5" stroked="false">
                  <v:imagedata r:id="rId11" o:title=""/>
                </v:shape>
                <v:shape style="position:absolute;left:9389;top:92;width:2630;height:2835" type="#_x0000_t75" id="docshape6" stroked="false">
                  <v:imagedata r:id="rId12" o:title=""/>
                </v:shape>
                <w10:wrap type="topAndBottom"/>
              </v:group>
            </w:pict>
          </mc:Fallback>
        </mc:AlternateContent>
      </w:r>
    </w:p>
    <w:p w:rsidR="008F50F5" w:rsidRDefault="00C20D72">
      <w:pPr>
        <w:tabs>
          <w:tab w:val="left" w:pos="3034"/>
        </w:tabs>
        <w:spacing w:before="22"/>
        <w:ind w:left="199"/>
        <w:rPr>
          <w:sz w:val="14"/>
        </w:rPr>
      </w:pPr>
      <w:r w:rsidRPr="00C20D72">
        <w:rPr>
          <w:rFonts w:ascii="Trebuchet MS" w:hAnsi="Trebuchet MS"/>
          <w:color w:val="231F20"/>
          <w:w w:val="85"/>
          <w:position w:val="1"/>
          <w:sz w:val="14"/>
        </w:rPr>
        <w:t>Photo 01. Right eye iris (OD</w:t>
      </w:r>
      <w:proofErr w:type="gramStart"/>
      <w:r w:rsidRPr="00C20D72">
        <w:rPr>
          <w:rFonts w:ascii="Trebuchet MS" w:hAnsi="Trebuchet MS"/>
          <w:color w:val="231F20"/>
          <w:w w:val="85"/>
          <w:position w:val="1"/>
          <w:sz w:val="14"/>
        </w:rPr>
        <w:t>)</w:t>
      </w:r>
      <w:r w:rsidR="009A305D">
        <w:rPr>
          <w:color w:val="231F20"/>
          <w:position w:val="1"/>
          <w:sz w:val="14"/>
        </w:rPr>
        <w:tab/>
      </w:r>
      <w:r w:rsidRPr="00C20D72">
        <w:rPr>
          <w:rFonts w:ascii="Trebuchet MS" w:hAnsi="Trebuchet MS"/>
          <w:color w:val="231F20"/>
          <w:w w:val="85"/>
          <w:sz w:val="14"/>
        </w:rPr>
        <w:t>Photo</w:t>
      </w:r>
      <w:proofErr w:type="gramEnd"/>
      <w:r w:rsidRPr="00C20D72">
        <w:rPr>
          <w:rFonts w:ascii="Trebuchet MS" w:hAnsi="Trebuchet MS"/>
          <w:color w:val="231F20"/>
          <w:w w:val="85"/>
          <w:sz w:val="14"/>
        </w:rPr>
        <w:t xml:space="preserve"> 02. Left eye iris (OS)</w:t>
      </w:r>
    </w:p>
    <w:p w:rsidR="008F50F5" w:rsidRDefault="008F50F5">
      <w:pPr>
        <w:pStyle w:val="Tekstpodstawowy"/>
        <w:spacing w:before="15"/>
        <w:rPr>
          <w:sz w:val="14"/>
        </w:rPr>
      </w:pPr>
    </w:p>
    <w:p w:rsidR="00215CE5" w:rsidRPr="00215CE5" w:rsidRDefault="00215CE5" w:rsidP="00215CE5">
      <w:pPr>
        <w:pStyle w:val="Akapitzlist"/>
        <w:rPr>
          <w:color w:val="231F20"/>
          <w:spacing w:val="-5"/>
          <w:sz w:val="19"/>
        </w:rPr>
      </w:pPr>
      <w:r w:rsidRPr="00215CE5">
        <w:rPr>
          <w:color w:val="231F20"/>
          <w:spacing w:val="-5"/>
          <w:sz w:val="19"/>
        </w:rPr>
        <w:t>• Structure: II.</w:t>
      </w:r>
    </w:p>
    <w:p w:rsidR="00215CE5" w:rsidRPr="00215CE5" w:rsidRDefault="00215CE5" w:rsidP="00215CE5">
      <w:pPr>
        <w:pStyle w:val="Akapitzlist"/>
        <w:rPr>
          <w:color w:val="231F20"/>
          <w:spacing w:val="-5"/>
          <w:sz w:val="19"/>
        </w:rPr>
      </w:pPr>
      <w:r w:rsidRPr="00215CE5">
        <w:rPr>
          <w:color w:val="231F20"/>
          <w:spacing w:val="-5"/>
          <w:sz w:val="19"/>
        </w:rPr>
        <w:t>• Constitution: lymphatic</w:t>
      </w:r>
    </w:p>
    <w:p w:rsidR="00215CE5" w:rsidRPr="00215CE5" w:rsidRDefault="00215CE5" w:rsidP="00215CE5">
      <w:pPr>
        <w:pStyle w:val="Akapitzlist"/>
        <w:rPr>
          <w:color w:val="231F20"/>
          <w:spacing w:val="-5"/>
          <w:sz w:val="19"/>
        </w:rPr>
      </w:pPr>
      <w:r w:rsidRPr="00215CE5">
        <w:rPr>
          <w:color w:val="231F20"/>
          <w:spacing w:val="-5"/>
          <w:sz w:val="19"/>
        </w:rPr>
        <w:t>• Subtype: hydrogenoid with neurogenic elements</w:t>
      </w:r>
    </w:p>
    <w:p w:rsidR="00215CE5" w:rsidRPr="00215CE5" w:rsidRDefault="00215CE5" w:rsidP="00215CE5">
      <w:pPr>
        <w:pStyle w:val="Akapitzlist"/>
        <w:rPr>
          <w:color w:val="231F20"/>
          <w:spacing w:val="-5"/>
          <w:sz w:val="19"/>
        </w:rPr>
      </w:pPr>
      <w:r w:rsidRPr="00215CE5">
        <w:rPr>
          <w:color w:val="231F20"/>
          <w:spacing w:val="-5"/>
          <w:sz w:val="19"/>
        </w:rPr>
        <w:t>1. Pupil: round, flattening at 12 o'clock OD, displaced to the right.</w:t>
      </w:r>
    </w:p>
    <w:p w:rsidR="00215CE5" w:rsidRPr="00215CE5" w:rsidRDefault="00215CE5" w:rsidP="00215CE5">
      <w:pPr>
        <w:pStyle w:val="Akapitzlist"/>
        <w:rPr>
          <w:color w:val="231F20"/>
          <w:spacing w:val="-5"/>
          <w:sz w:val="19"/>
        </w:rPr>
      </w:pPr>
      <w:r w:rsidRPr="00215CE5">
        <w:rPr>
          <w:color w:val="231F20"/>
          <w:spacing w:val="-5"/>
          <w:sz w:val="19"/>
        </w:rPr>
        <w:t>2. Collarette: visible, granular.</w:t>
      </w:r>
    </w:p>
    <w:p w:rsidR="00215CE5" w:rsidRPr="00215CE5" w:rsidRDefault="00215CE5" w:rsidP="00215CE5">
      <w:pPr>
        <w:pStyle w:val="Akapitzlist"/>
        <w:rPr>
          <w:color w:val="231F20"/>
          <w:spacing w:val="-5"/>
          <w:sz w:val="19"/>
        </w:rPr>
      </w:pPr>
      <w:r w:rsidRPr="00215CE5">
        <w:rPr>
          <w:color w:val="231F20"/>
          <w:spacing w:val="-5"/>
          <w:sz w:val="19"/>
        </w:rPr>
        <w:t>3. Pupillary zone: slight brightening of the gastric zone.</w:t>
      </w:r>
    </w:p>
    <w:p w:rsidR="00215CE5" w:rsidRPr="00215CE5" w:rsidRDefault="00215CE5" w:rsidP="00215CE5">
      <w:pPr>
        <w:pStyle w:val="Akapitzlist"/>
        <w:rPr>
          <w:color w:val="231F20"/>
          <w:spacing w:val="-5"/>
          <w:sz w:val="19"/>
        </w:rPr>
      </w:pPr>
      <w:r w:rsidRPr="00215CE5">
        <w:rPr>
          <w:color w:val="231F20"/>
          <w:spacing w:val="-5"/>
          <w:sz w:val="19"/>
        </w:rPr>
        <w:t>4. Pigment ruff, irregular, almost square.</w:t>
      </w:r>
    </w:p>
    <w:p w:rsidR="00215CE5" w:rsidRPr="00215CE5" w:rsidRDefault="00215CE5" w:rsidP="00215CE5">
      <w:pPr>
        <w:pStyle w:val="Akapitzlist"/>
        <w:rPr>
          <w:color w:val="231F20"/>
          <w:spacing w:val="-5"/>
          <w:sz w:val="19"/>
        </w:rPr>
      </w:pPr>
      <w:r w:rsidRPr="00215CE5">
        <w:rPr>
          <w:color w:val="231F20"/>
          <w:spacing w:val="-5"/>
          <w:sz w:val="19"/>
        </w:rPr>
        <w:t>5. Analysis of the ciliary zone primarily revealed: OD — forming asparagus lacuna in the ovarian zone.</w:t>
      </w:r>
    </w:p>
    <w:p w:rsidR="00215CE5" w:rsidRPr="00215CE5" w:rsidRDefault="00215CE5" w:rsidP="00215CE5">
      <w:pPr>
        <w:pStyle w:val="Akapitzlist"/>
        <w:rPr>
          <w:color w:val="231F20"/>
          <w:spacing w:val="-5"/>
          <w:sz w:val="19"/>
        </w:rPr>
      </w:pPr>
      <w:r w:rsidRPr="00215CE5">
        <w:rPr>
          <w:color w:val="231F20"/>
          <w:spacing w:val="-5"/>
          <w:sz w:val="19"/>
        </w:rPr>
        <w:t>6. Rarefaction of fibers in the thyroid zone.</w:t>
      </w:r>
    </w:p>
    <w:p w:rsidR="00215CE5" w:rsidRPr="00215CE5" w:rsidRDefault="00215CE5" w:rsidP="00215CE5">
      <w:pPr>
        <w:pStyle w:val="Akapitzlist"/>
        <w:rPr>
          <w:color w:val="231F20"/>
          <w:spacing w:val="-5"/>
          <w:sz w:val="19"/>
        </w:rPr>
      </w:pPr>
      <w:r w:rsidRPr="00215CE5">
        <w:rPr>
          <w:color w:val="231F20"/>
          <w:spacing w:val="-5"/>
          <w:sz w:val="19"/>
        </w:rPr>
        <w:t>7. Lacuna in the pancreatic zone + pancreatic pigment.</w:t>
      </w:r>
    </w:p>
    <w:p w:rsidR="00215CE5" w:rsidRPr="00215CE5" w:rsidRDefault="00215CE5" w:rsidP="00215CE5">
      <w:pPr>
        <w:pStyle w:val="Akapitzlist"/>
        <w:rPr>
          <w:color w:val="231F20"/>
          <w:spacing w:val="-5"/>
          <w:sz w:val="19"/>
        </w:rPr>
      </w:pPr>
      <w:r w:rsidRPr="00215CE5">
        <w:rPr>
          <w:color w:val="231F20"/>
          <w:spacing w:val="-5"/>
          <w:sz w:val="19"/>
        </w:rPr>
        <w:t>8. Rarefaction of fibers in the zone: upper back.</w:t>
      </w:r>
    </w:p>
    <w:p w:rsidR="00215CE5" w:rsidRPr="00215CE5" w:rsidRDefault="00215CE5" w:rsidP="00215CE5">
      <w:pPr>
        <w:pStyle w:val="Akapitzlist"/>
        <w:rPr>
          <w:color w:val="231F20"/>
          <w:spacing w:val="-5"/>
          <w:sz w:val="19"/>
        </w:rPr>
      </w:pPr>
      <w:r w:rsidRPr="00215CE5">
        <w:rPr>
          <w:color w:val="231F20"/>
          <w:spacing w:val="-5"/>
          <w:sz w:val="19"/>
        </w:rPr>
        <w:t>9. Double ruff and rarefaction of fibers in the cardiac zone, contraction rings.</w:t>
      </w:r>
    </w:p>
    <w:p w:rsidR="00215CE5" w:rsidRPr="00215CE5" w:rsidRDefault="00215CE5" w:rsidP="00215CE5">
      <w:pPr>
        <w:pStyle w:val="Akapitzlist"/>
        <w:rPr>
          <w:color w:val="231F20"/>
          <w:spacing w:val="-5"/>
          <w:sz w:val="19"/>
        </w:rPr>
      </w:pPr>
      <w:r w:rsidRPr="00215CE5">
        <w:rPr>
          <w:color w:val="231F20"/>
          <w:spacing w:val="-5"/>
          <w:sz w:val="19"/>
        </w:rPr>
        <w:t>10. Lymphatic rosary, indicating weakening of the lymphatic system.</w:t>
      </w:r>
    </w:p>
    <w:p w:rsidR="00215CE5" w:rsidRPr="00215CE5" w:rsidRDefault="00215CE5" w:rsidP="00215CE5">
      <w:pPr>
        <w:pStyle w:val="Akapitzlist"/>
        <w:rPr>
          <w:color w:val="231F20"/>
          <w:spacing w:val="-5"/>
          <w:sz w:val="19"/>
        </w:rPr>
      </w:pPr>
      <w:r w:rsidRPr="00215CE5">
        <w:rPr>
          <w:color w:val="231F20"/>
          <w:spacing w:val="-5"/>
          <w:sz w:val="19"/>
        </w:rPr>
        <w:t>11. OS: deep crypt in the ovarian zone.</w:t>
      </w:r>
    </w:p>
    <w:p w:rsidR="00215CE5" w:rsidRPr="00215CE5" w:rsidRDefault="00215CE5" w:rsidP="00215CE5">
      <w:pPr>
        <w:pStyle w:val="Akapitzlist"/>
        <w:rPr>
          <w:color w:val="231F20"/>
          <w:spacing w:val="-5"/>
          <w:sz w:val="19"/>
        </w:rPr>
      </w:pPr>
      <w:r w:rsidRPr="00215CE5">
        <w:rPr>
          <w:color w:val="231F20"/>
          <w:spacing w:val="-5"/>
          <w:sz w:val="19"/>
        </w:rPr>
        <w:t>12. Weakening of the pancreas and thyroid zone.</w:t>
      </w:r>
    </w:p>
    <w:p w:rsidR="008F50F5" w:rsidRDefault="00215CE5" w:rsidP="00215CE5">
      <w:pPr>
        <w:pStyle w:val="Akapitzlist"/>
        <w:rPr>
          <w:sz w:val="19"/>
        </w:rPr>
        <w:sectPr w:rsidR="008F50F5">
          <w:type w:val="continuous"/>
          <w:pgSz w:w="13040" w:h="17010"/>
          <w:pgMar w:top="0" w:right="566" w:bottom="0" w:left="566" w:header="708" w:footer="708" w:gutter="0"/>
          <w:cols w:num="2" w:space="708" w:equalWidth="0">
            <w:col w:w="5750" w:space="40"/>
            <w:col w:w="6118"/>
          </w:cols>
        </w:sectPr>
      </w:pPr>
      <w:r w:rsidRPr="00215CE5">
        <w:rPr>
          <w:color w:val="231F20"/>
          <w:spacing w:val="-5"/>
          <w:sz w:val="19"/>
        </w:rPr>
        <w:t>13. Rarefaction of fibres: renal zone. [1,2,3,4,5,6].</w:t>
      </w:r>
    </w:p>
    <w:p w:rsidR="008F50F5" w:rsidRDefault="009A305D" w:rsidP="00BB1E29">
      <w:pPr>
        <w:pStyle w:val="Tekstpodstawowy"/>
        <w:spacing w:before="133"/>
        <w:rPr>
          <w:sz w:val="13"/>
        </w:rPr>
        <w:sectPr w:rsidR="008F50F5">
          <w:type w:val="continuous"/>
          <w:pgSz w:w="13040" w:h="17010"/>
          <w:pgMar w:top="0" w:right="566" w:bottom="0" w:left="566" w:header="708" w:footer="708" w:gutter="0"/>
          <w:cols w:space="708"/>
        </w:sectPr>
      </w:pPr>
      <w:r>
        <w:rPr>
          <w:noProof/>
          <w:sz w:val="13"/>
          <w:lang w:eastAsia="pl-PL"/>
        </w:rPr>
        <w:lastRenderedPageBreak/>
        <mc:AlternateContent>
          <mc:Choice Requires="wps">
            <w:drawing>
              <wp:anchor distT="0" distB="0" distL="0" distR="0" simplePos="0" relativeHeight="15729152" behindDoc="0" locked="0" layoutInCell="1" allowOverlap="1" wp14:anchorId="6F730968" wp14:editId="2B3CBD3D">
                <wp:simplePos x="0" y="0"/>
                <wp:positionH relativeFrom="page">
                  <wp:posOffset>-92</wp:posOffset>
                </wp:positionH>
                <wp:positionV relativeFrom="page">
                  <wp:posOffset>116</wp:posOffset>
                </wp:positionV>
                <wp:extent cx="204470" cy="87566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 cy="875665"/>
                        </a:xfrm>
                        <a:custGeom>
                          <a:avLst/>
                          <a:gdLst/>
                          <a:ahLst/>
                          <a:cxnLst/>
                          <a:rect l="l" t="t" r="r" b="b"/>
                          <a:pathLst>
                            <a:path w="204470" h="875665">
                              <a:moveTo>
                                <a:pt x="0" y="0"/>
                              </a:moveTo>
                              <a:lnTo>
                                <a:pt x="92" y="875220"/>
                              </a:lnTo>
                              <a:lnTo>
                                <a:pt x="5102" y="871235"/>
                              </a:lnTo>
                              <a:lnTo>
                                <a:pt x="37193" y="841441"/>
                              </a:lnTo>
                              <a:lnTo>
                                <a:pt x="66924" y="809281"/>
                              </a:lnTo>
                              <a:lnTo>
                                <a:pt x="94148" y="774903"/>
                              </a:lnTo>
                              <a:lnTo>
                                <a:pt x="118718" y="738454"/>
                              </a:lnTo>
                              <a:lnTo>
                                <a:pt x="140488" y="700080"/>
                              </a:lnTo>
                              <a:lnTo>
                                <a:pt x="159311" y="659928"/>
                              </a:lnTo>
                              <a:lnTo>
                                <a:pt x="175041" y="618146"/>
                              </a:lnTo>
                              <a:lnTo>
                                <a:pt x="187530" y="574881"/>
                              </a:lnTo>
                              <a:lnTo>
                                <a:pt x="196633" y="530279"/>
                              </a:lnTo>
                              <a:lnTo>
                                <a:pt x="202202" y="484487"/>
                              </a:lnTo>
                              <a:lnTo>
                                <a:pt x="204091" y="437652"/>
                              </a:lnTo>
                              <a:lnTo>
                                <a:pt x="202202" y="390816"/>
                              </a:lnTo>
                              <a:lnTo>
                                <a:pt x="196633" y="345023"/>
                              </a:lnTo>
                              <a:lnTo>
                                <a:pt x="187530" y="300419"/>
                              </a:lnTo>
                              <a:lnTo>
                                <a:pt x="175041" y="257152"/>
                              </a:lnTo>
                              <a:lnTo>
                                <a:pt x="159311" y="215369"/>
                              </a:lnTo>
                              <a:lnTo>
                                <a:pt x="140488" y="175217"/>
                              </a:lnTo>
                              <a:lnTo>
                                <a:pt x="118718" y="136842"/>
                              </a:lnTo>
                              <a:lnTo>
                                <a:pt x="94148" y="100392"/>
                              </a:lnTo>
                              <a:lnTo>
                                <a:pt x="66924" y="66013"/>
                              </a:lnTo>
                              <a:lnTo>
                                <a:pt x="37193" y="33853"/>
                              </a:lnTo>
                              <a:lnTo>
                                <a:pt x="5102" y="4058"/>
                              </a:lnTo>
                              <a:lnTo>
                                <a:pt x="0" y="0"/>
                              </a:lnTo>
                              <a:close/>
                            </a:path>
                          </a:pathLst>
                        </a:custGeom>
                        <a:solidFill>
                          <a:srgbClr val="F5821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07261pt;margin-top:.009152pt;width:16.1pt;height:68.95pt;mso-position-horizontal-relative:page;mso-position-vertical-relative:page;z-index:15729152" id="docshape7" coordorigin="0,0" coordsize="322,1379" path="m0,0l0,1378,8,1372,58,1325,105,1275,148,1221,187,1163,221,1103,251,1039,276,974,295,906,310,835,318,763,321,689,318,616,310,544,295,473,276,405,251,339,221,276,187,216,148,158,105,104,58,53,8,7,0,0xe" filled="true" fillcolor="#f5821f" stroked="false">
                <v:path arrowok="t"/>
                <v:fill type="solid"/>
                <w10:wrap type="none"/>
              </v:shape>
            </w:pict>
          </mc:Fallback>
        </mc:AlternateContent>
      </w:r>
      <w:r w:rsidR="00BB1E29">
        <w:rPr>
          <w:sz w:val="13"/>
        </w:rPr>
        <w:t xml:space="preserve">                                                                                                                                                                                                                                                                                  </w:t>
      </w:r>
      <w:proofErr w:type="gramStart"/>
      <w:r w:rsidR="00BB1E29" w:rsidRPr="00BB1E29">
        <w:rPr>
          <w:sz w:val="13"/>
        </w:rPr>
        <w:t>OPTYKA 2(93)2025</w:t>
      </w:r>
      <w:r w:rsidR="00BB1E29">
        <w:rPr>
          <w:sz w:val="13"/>
        </w:rPr>
        <w:t xml:space="preserve">    </w:t>
      </w:r>
    </w:p>
    <w:p w:rsidR="008F50F5" w:rsidRDefault="007727EE">
      <w:pPr>
        <w:spacing w:before="77"/>
        <w:ind w:right="63"/>
        <w:jc w:val="right"/>
        <w:rPr>
          <w:sz w:val="24"/>
        </w:rPr>
      </w:pPr>
      <w:proofErr w:type="gramEnd"/>
      <w:r>
        <w:rPr>
          <w:color w:val="231F20"/>
          <w:spacing w:val="12"/>
          <w:w w:val="110"/>
          <w:sz w:val="18"/>
        </w:rPr>
        <w:lastRenderedPageBreak/>
        <w:t>Optometry</w:t>
      </w:r>
      <w:r w:rsidR="009A305D">
        <w:rPr>
          <w:color w:val="231F20"/>
          <w:spacing w:val="31"/>
          <w:w w:val="115"/>
          <w:sz w:val="18"/>
        </w:rPr>
        <w:t xml:space="preserve"> </w:t>
      </w:r>
      <w:r w:rsidR="009A305D">
        <w:rPr>
          <w:color w:val="231F20"/>
          <w:w w:val="115"/>
          <w:position w:val="2"/>
          <w:sz w:val="24"/>
        </w:rPr>
        <w:t>/</w:t>
      </w:r>
      <w:r w:rsidR="009A305D">
        <w:rPr>
          <w:color w:val="231F20"/>
          <w:spacing w:val="5"/>
          <w:w w:val="115"/>
          <w:position w:val="2"/>
          <w:sz w:val="24"/>
        </w:rPr>
        <w:t xml:space="preserve"> </w:t>
      </w:r>
      <w:r w:rsidR="009A305D">
        <w:rPr>
          <w:color w:val="231F20"/>
          <w:spacing w:val="-5"/>
          <w:w w:val="110"/>
          <w:sz w:val="24"/>
        </w:rPr>
        <w:t>59</w:t>
      </w:r>
    </w:p>
    <w:p w:rsidR="008F50F5" w:rsidRDefault="008F50F5">
      <w:pPr>
        <w:pStyle w:val="Tekstpodstawowy"/>
        <w:rPr>
          <w:sz w:val="20"/>
        </w:rPr>
      </w:pPr>
    </w:p>
    <w:p w:rsidR="008F50F5" w:rsidRDefault="008F50F5">
      <w:pPr>
        <w:pStyle w:val="Tekstpodstawowy"/>
        <w:spacing w:before="23"/>
        <w:rPr>
          <w:sz w:val="20"/>
        </w:rPr>
      </w:pPr>
    </w:p>
    <w:p w:rsidR="008F50F5" w:rsidRDefault="008F50F5">
      <w:pPr>
        <w:pStyle w:val="Tekstpodstawowy"/>
        <w:rPr>
          <w:sz w:val="20"/>
        </w:rPr>
        <w:sectPr w:rsidR="008F50F5">
          <w:pgSz w:w="13040" w:h="17010"/>
          <w:pgMar w:top="520" w:right="566" w:bottom="0" w:left="566" w:header="708" w:footer="708" w:gutter="0"/>
          <w:cols w:space="708"/>
        </w:sectPr>
      </w:pPr>
    </w:p>
    <w:p w:rsidR="00CE3551" w:rsidRPr="00540D1B" w:rsidRDefault="00CE3551" w:rsidP="00540D1B">
      <w:pPr>
        <w:pStyle w:val="Tekstpodstawowy"/>
        <w:spacing w:before="8" w:line="256" w:lineRule="auto"/>
        <w:ind w:left="454"/>
        <w:rPr>
          <w:i/>
          <w:iCs/>
          <w:color w:val="F5821F"/>
          <w:spacing w:val="-4"/>
          <w:sz w:val="22"/>
          <w:szCs w:val="22"/>
        </w:rPr>
      </w:pPr>
      <w:r w:rsidRPr="00540D1B">
        <w:rPr>
          <w:i/>
          <w:iCs/>
          <w:color w:val="F5821F"/>
          <w:spacing w:val="-4"/>
          <w:sz w:val="22"/>
          <w:szCs w:val="22"/>
        </w:rPr>
        <w:lastRenderedPageBreak/>
        <w:t>Recommendations for iridological analysis:</w:t>
      </w:r>
    </w:p>
    <w:p w:rsidR="00CE3551" w:rsidRPr="00540D1B" w:rsidRDefault="00CE3551" w:rsidP="00540D1B">
      <w:pPr>
        <w:pStyle w:val="Nagwek2"/>
        <w:spacing w:line="253" w:lineRule="exact"/>
        <w:rPr>
          <w:i w:val="0"/>
          <w:iCs w:val="0"/>
          <w:color w:val="231F20"/>
          <w:spacing w:val="-2"/>
          <w:sz w:val="19"/>
          <w:szCs w:val="19"/>
        </w:rPr>
      </w:pPr>
      <w:r w:rsidRPr="00540D1B">
        <w:rPr>
          <w:i w:val="0"/>
          <w:iCs w:val="0"/>
          <w:color w:val="231F20"/>
          <w:spacing w:val="-2"/>
          <w:sz w:val="19"/>
          <w:szCs w:val="19"/>
        </w:rPr>
        <w:t>Typical for hydrogenoid subtype: reduce milk, sugar, fruit, and alcohol intake; undergo gynecological checkup as well as gastric and duodenal assessment if warranted by concerning symptoms; undergo thyroid assessment; start regular blood glucose monitoring after the age of 50; take care of spinal health and lymphatic system status; plan whole-body detoxification; make sure adequate stress-management strategies are in place[1,2,4].</w:t>
      </w:r>
    </w:p>
    <w:p w:rsidR="008F50F5" w:rsidRPr="00540D1B" w:rsidRDefault="00CE3551" w:rsidP="00540D1B">
      <w:pPr>
        <w:pStyle w:val="Nagwek2"/>
        <w:spacing w:line="253" w:lineRule="exact"/>
        <w:jc w:val="left"/>
      </w:pPr>
      <w:r w:rsidRPr="00540D1B">
        <w:rPr>
          <w:color w:val="F5821F"/>
          <w:spacing w:val="-10"/>
        </w:rPr>
        <w:t>Case study</w:t>
      </w:r>
    </w:p>
    <w:p w:rsidR="00CE3551" w:rsidRPr="00540D1B" w:rsidRDefault="00CE3551" w:rsidP="00540D1B">
      <w:pPr>
        <w:pStyle w:val="Tekstpodstawowy"/>
        <w:spacing w:before="8" w:line="256" w:lineRule="auto"/>
        <w:ind w:left="453"/>
        <w:jc w:val="both"/>
        <w:rPr>
          <w:color w:val="231F20"/>
          <w:spacing w:val="-6"/>
          <w:w w:val="105"/>
        </w:rPr>
      </w:pPr>
      <w:r w:rsidRPr="00540D1B">
        <w:rPr>
          <w:color w:val="231F20"/>
          <w:spacing w:val="-6"/>
          <w:w w:val="105"/>
        </w:rPr>
        <w:t>During a routine gynecological appointment, cystic lesions of the left adnexa were revealed upon examination, including transvaginal ultrasound.  Surgical intervention was recommended by consulting gynecologists. As the patient was asymptomatic and her serum tumor marker levels were within normal limits, she considered postponing or even forgoing surgery. She was more inclined towards pharmacologic</w:t>
      </w:r>
    </w:p>
    <w:p w:rsidR="00CE3551" w:rsidRPr="00540D1B" w:rsidRDefault="00CE3551" w:rsidP="00540D1B">
      <w:pPr>
        <w:pStyle w:val="Tekstpodstawowy"/>
        <w:spacing w:before="8" w:line="256" w:lineRule="auto"/>
        <w:ind w:left="453"/>
        <w:jc w:val="both"/>
        <w:rPr>
          <w:color w:val="231F20"/>
          <w:spacing w:val="-6"/>
          <w:w w:val="105"/>
        </w:rPr>
      </w:pPr>
      <w:proofErr w:type="gramStart"/>
      <w:r w:rsidRPr="00540D1B">
        <w:rPr>
          <w:color w:val="231F20"/>
          <w:spacing w:val="-6"/>
          <w:w w:val="105"/>
        </w:rPr>
        <w:t>al</w:t>
      </w:r>
      <w:proofErr w:type="gramEnd"/>
      <w:r w:rsidRPr="00540D1B">
        <w:rPr>
          <w:color w:val="231F20"/>
          <w:spacing w:val="-6"/>
          <w:w w:val="105"/>
        </w:rPr>
        <w:t xml:space="preserve"> treatment, hoping for pharmacotherapy-induced resorption of the lesions.</w:t>
      </w:r>
    </w:p>
    <w:p w:rsidR="00CE3551" w:rsidRPr="00540D1B" w:rsidRDefault="00CE3551" w:rsidP="00540D1B">
      <w:pPr>
        <w:pStyle w:val="Nagwek2"/>
        <w:spacing w:before="15" w:line="247" w:lineRule="auto"/>
        <w:ind w:right="4"/>
        <w:rPr>
          <w:i w:val="0"/>
          <w:iCs w:val="0"/>
          <w:color w:val="231F20"/>
          <w:spacing w:val="-6"/>
          <w:w w:val="105"/>
          <w:sz w:val="19"/>
          <w:szCs w:val="19"/>
        </w:rPr>
      </w:pPr>
      <w:r w:rsidRPr="00540D1B">
        <w:rPr>
          <w:i w:val="0"/>
          <w:iCs w:val="0"/>
          <w:color w:val="231F20"/>
          <w:spacing w:val="-6"/>
          <w:w w:val="105"/>
          <w:sz w:val="19"/>
          <w:szCs w:val="19"/>
        </w:rPr>
        <w:t>However, considering the iridological findings, which revealed deep crypts in the ovarian zone [2,4,5,6], I recommended proceeding with surgery. Intraoperatively, the lesions were found to be larger than previously indicated by gynecological examination, including transvaginal ultrasound (as reported by the patient over the phone). The patient has since undergone the procedure and attended a follow-up gynecological appointment. Her current health status is very good.</w:t>
      </w:r>
    </w:p>
    <w:p w:rsidR="00FC76E4" w:rsidRPr="00540D1B" w:rsidRDefault="00FC76E4" w:rsidP="00296855">
      <w:pPr>
        <w:pStyle w:val="Tekstpodstawowy"/>
        <w:spacing w:line="256" w:lineRule="auto"/>
        <w:ind w:left="454"/>
        <w:jc w:val="both"/>
        <w:rPr>
          <w:i/>
          <w:iCs/>
          <w:color w:val="F5821F"/>
          <w:spacing w:val="-4"/>
          <w:sz w:val="22"/>
          <w:szCs w:val="22"/>
        </w:rPr>
      </w:pPr>
      <w:bookmarkStart w:id="0" w:name="_GoBack"/>
      <w:bookmarkEnd w:id="0"/>
      <w:r w:rsidRPr="00540D1B">
        <w:rPr>
          <w:i/>
          <w:iCs/>
          <w:color w:val="F5821F"/>
          <w:spacing w:val="-4"/>
          <w:sz w:val="22"/>
          <w:szCs w:val="22"/>
        </w:rPr>
        <w:t>Gynecological examination reports (as per patient's medical records, quoted in the original format):</w:t>
      </w:r>
    </w:p>
    <w:p w:rsidR="00296855" w:rsidRPr="00296855" w:rsidRDefault="00296855" w:rsidP="00296855">
      <w:pPr>
        <w:pStyle w:val="Nagwek2"/>
        <w:spacing w:line="252" w:lineRule="exact"/>
        <w:rPr>
          <w:i w:val="0"/>
          <w:spacing w:val="-6"/>
          <w:sz w:val="19"/>
          <w:szCs w:val="19"/>
        </w:rPr>
      </w:pPr>
      <w:r w:rsidRPr="00296855">
        <w:rPr>
          <w:i w:val="0"/>
          <w:spacing w:val="-6"/>
          <w:sz w:val="19"/>
          <w:szCs w:val="19"/>
        </w:rPr>
        <w:t>Multi-phase computed tomography of the abdomen and lesser pelvis: a fluid-density lesion with dense content in the left ovary (cystic character), approximately 47×38 mm, without post-contrast enhancement evident on CT - detailed assessment possible by pelvic MRI.  Additionally, a thin-walled, fluid-density lesion in the left ovary measuring approximately 30 × 40 mm was observed, most consistent with a simple cyst..</w:t>
      </w:r>
    </w:p>
    <w:p w:rsidR="00296855" w:rsidRPr="00296855" w:rsidRDefault="00296855" w:rsidP="00296855">
      <w:pPr>
        <w:pStyle w:val="Nagwek2"/>
        <w:spacing w:line="252" w:lineRule="exact"/>
        <w:rPr>
          <w:i w:val="0"/>
          <w:spacing w:val="-6"/>
          <w:sz w:val="19"/>
          <w:szCs w:val="19"/>
        </w:rPr>
      </w:pPr>
      <w:r w:rsidRPr="00296855">
        <w:rPr>
          <w:i w:val="0"/>
          <w:spacing w:val="-6"/>
          <w:sz w:val="19"/>
          <w:szCs w:val="19"/>
        </w:rPr>
        <w:t>Laparoscopy: Type of surgical procedure: laparoscopy. Enucleation of a left paratubal cyst; enucleation of a left ovarian cyst. Preoperative diagnosis: left ovarian tumour. Operative report: The operating field was prepared, and pneumoperitoneum was established using a Veress needle. A single optical trocar was introduced in the periumbilical region, and three working trocars were placed suprapubically. Normally-sized uterine body was visualized, with unremarkable right adnexa. A paratubal cyst approximately 60 mm in diameter was visualized on the left side, along with a left ovarian cyst approximately 60-70 mm in diameter.  No free fluid was observed in the pouch of Douglas, and the remaining abdominal and pelvic organs were unremarkable. The paratubal cyst and the left ovarian cyst were enucleated. The specimens were removed in an endobag. Haemostasis was confirmed, and irrigation was performed. Clinical diagnosis: bilateral ovarian cysts..</w:t>
      </w:r>
    </w:p>
    <w:p w:rsidR="00296855" w:rsidRPr="00296855" w:rsidRDefault="00296855" w:rsidP="00296855">
      <w:pPr>
        <w:pStyle w:val="Nagwek2"/>
        <w:spacing w:line="252" w:lineRule="exact"/>
        <w:rPr>
          <w:i w:val="0"/>
          <w:spacing w:val="-6"/>
          <w:sz w:val="19"/>
          <w:szCs w:val="19"/>
        </w:rPr>
      </w:pPr>
      <w:r w:rsidRPr="00296855">
        <w:rPr>
          <w:i w:val="0"/>
          <w:spacing w:val="-6"/>
          <w:sz w:val="19"/>
          <w:szCs w:val="19"/>
        </w:rPr>
        <w:t>Macroscopic description: 1. Left ovarian cyst. Surgical specimen</w:t>
      </w:r>
    </w:p>
    <w:p w:rsidR="008F50F5" w:rsidRPr="00296855" w:rsidRDefault="00296855" w:rsidP="00296855">
      <w:pPr>
        <w:pStyle w:val="Nagwek2"/>
        <w:spacing w:line="252" w:lineRule="exact"/>
        <w:rPr>
          <w:i w:val="0"/>
          <w:sz w:val="19"/>
          <w:szCs w:val="19"/>
        </w:rPr>
      </w:pPr>
      <w:proofErr w:type="gramStart"/>
      <w:r w:rsidRPr="00296855">
        <w:rPr>
          <w:i w:val="0"/>
          <w:spacing w:val="-6"/>
          <w:sz w:val="19"/>
          <w:szCs w:val="19"/>
        </w:rPr>
        <w:t>weighing</w:t>
      </w:r>
      <w:proofErr w:type="gramEnd"/>
      <w:r w:rsidRPr="00296855">
        <w:rPr>
          <w:i w:val="0"/>
          <w:spacing w:val="-6"/>
          <w:sz w:val="19"/>
          <w:szCs w:val="19"/>
        </w:rPr>
        <w:t xml:space="preserve"> 20 g, consisting of a thin-walled, multilocular cyst 50 mm in diameter filled with clear fluid. 2. Left paratubal cyst. Surgical specimen weighing 10 g, consisting of an incised cyst 40 mm in diameter with a slightly thickened wall and a brown-pigmented lining. Histopathological diagnosis: left ovarian cyst, endometrial paratubal cyst of the left fallopian tube.</w:t>
      </w:r>
      <w:r w:rsidR="00FC76E4" w:rsidRPr="00296855">
        <w:rPr>
          <w:i w:val="0"/>
          <w:spacing w:val="-6"/>
          <w:sz w:val="19"/>
          <w:szCs w:val="19"/>
        </w:rPr>
        <w:t>Case discussion / surgeon’s commentary</w:t>
      </w:r>
    </w:p>
    <w:p w:rsidR="008F50F5" w:rsidRPr="00540D1B" w:rsidRDefault="00FC76E4" w:rsidP="00296855">
      <w:pPr>
        <w:pStyle w:val="Tekstpodstawowy"/>
        <w:spacing w:line="169" w:lineRule="exact"/>
        <w:ind w:left="454"/>
      </w:pPr>
      <w:r w:rsidRPr="00540D1B">
        <w:rPr>
          <w:color w:val="231F20"/>
          <w:spacing w:val="-4"/>
        </w:rPr>
        <w:t>An ovarian cyst is a lesion that develops inside the ovary, its wall, or externally to the ovary, in which case it is connected by a pedicle. Cysts are classified as functional, endometrial, or dermoid. Most adnexal cysts are benign; however, some may undergo malignant transformation. Cystectomy is recommended for cysts that are large, at risk of rupture, or suspected of malignancy,</w:t>
      </w:r>
      <w:r w:rsidRPr="00540D1B">
        <w:t xml:space="preserve"> </w:t>
      </w:r>
      <w:r w:rsidRPr="00540D1B">
        <w:rPr>
          <w:color w:val="231F20"/>
          <w:spacing w:val="-4"/>
        </w:rPr>
        <w:t>Early-stage diagnosis of ovarian cancer is, however, far from straightforward. It is well established that malignant lesions are more likely to be larger and to occur in somewhat older women - namely, those over 45 years of age.  In clinical practice, however, decisions must be made on an individual basis, weighing the risks of surgery against a watchful waiting approach. Malignant ovarian tumors are the fourth leading cause of death in women.</w:t>
      </w:r>
    </w:p>
    <w:p w:rsidR="004D54FF" w:rsidRDefault="009A305D" w:rsidP="00540D1B">
      <w:pPr>
        <w:pStyle w:val="Tekstpodstawowy"/>
        <w:spacing w:before="129" w:line="256" w:lineRule="auto"/>
        <w:ind w:left="199" w:right="302"/>
        <w:jc w:val="both"/>
        <w:rPr>
          <w:color w:val="231F20"/>
          <w:spacing w:val="-6"/>
        </w:rPr>
      </w:pPr>
      <w:r>
        <w:br w:type="column"/>
      </w:r>
      <w:r w:rsidR="004D54FF" w:rsidRPr="004D54FF">
        <w:lastRenderedPageBreak/>
        <w:t xml:space="preserve">In 2009, approximately 3,000 women were diagnosed with ovarian cancer, of whom more than 2,000 died - reflecting a very high mortality-to-incidence ratio. This is largely due to the absence of effective screening programs and the difficulty of detecting ovarian cancer at an early stage, when it can easily be mistaken for benign lesions. The most accurate diagnostic modality for ovarian cancer is PET/CT (positron emission tomography combined with computed tomography), with a sensitivity of approximately 90% for ovarian tumors. However, high cost and limited number of centers carrying out the PET/CT scans restrict their use to selected patients, resulting in a risk of delayed malignancy diagnosis in most cases. </w:t>
      </w:r>
      <w:r w:rsidR="004D54FF" w:rsidRPr="004D54FF">
        <w:rPr>
          <w:color w:val="231F20"/>
          <w:spacing w:val="-6"/>
        </w:rPr>
        <w:t>Moreover, a cyst-like lesion deemed benign at the time of examination may still undergo malignant transformation later. On the other hand, routine surgical removal of all adnexal cystic lesions detected would result in most procedures being carried out unnecessarily, thereby needlessly exposing the majority of patients to various risks, including those associated with anesthesia [7,8,9].</w:t>
      </w:r>
    </w:p>
    <w:p w:rsidR="004D54FF" w:rsidRDefault="004D54FF" w:rsidP="00540D1B">
      <w:pPr>
        <w:pStyle w:val="Tekstpodstawowy"/>
        <w:spacing w:before="10" w:line="256" w:lineRule="auto"/>
        <w:ind w:left="199" w:right="303"/>
        <w:jc w:val="both"/>
        <w:rPr>
          <w:color w:val="F5821F"/>
          <w:spacing w:val="-2"/>
        </w:rPr>
      </w:pPr>
      <w:r w:rsidRPr="004D54FF">
        <w:rPr>
          <w:color w:val="F5821F"/>
          <w:spacing w:val="-2"/>
        </w:rPr>
        <w:t>Conclusions</w:t>
      </w:r>
    </w:p>
    <w:p w:rsidR="004D54FF" w:rsidRDefault="004D54FF" w:rsidP="00540D1B">
      <w:pPr>
        <w:pStyle w:val="Tekstpodstawowy"/>
        <w:spacing w:line="256" w:lineRule="auto"/>
        <w:ind w:left="199" w:right="303" w:firstLine="158"/>
        <w:jc w:val="both"/>
        <w:rPr>
          <w:color w:val="231F20"/>
          <w:spacing w:val="-4"/>
        </w:rPr>
      </w:pPr>
      <w:r w:rsidRPr="004D54FF">
        <w:rPr>
          <w:color w:val="231F20"/>
          <w:spacing w:val="-2"/>
        </w:rPr>
        <w:t>Iridological diagnostics may have a meaningful role to play in cases such as one described herein. The presence of iridological warning signs - in this case, deep crypts - in the ovarian zone should prompt the patient to seek a relatively urgent gynecological consultation and to undergo surgical gynecological treatment or close follow-up, as advised by the specialist. If this reasoning proves valid, in many cases the proposed course of action could facilitate the detection and surgical treatment of lesions before malignant transformation, as well as enable identification of very early-stage malignancies. In the presently discussed case, there is a considerable probability that development of adnexal cancer was prevented.</w:t>
      </w:r>
      <w:r>
        <w:rPr>
          <w:color w:val="231F20"/>
          <w:spacing w:val="-2"/>
        </w:rPr>
        <w:t xml:space="preserve"> </w:t>
      </w:r>
      <w:r w:rsidRPr="004D54FF">
        <w:rPr>
          <w:color w:val="231F20"/>
          <w:spacing w:val="-4"/>
        </w:rPr>
        <w:t>It goes without saying that the availability of iridological diagnostics should by no means discourage patients from attending periodic preventive gynecological check-ups, as no single diagnostic method is 100% effective [2]. The main advantages of iridological diagnostics include low cost, non-invasiveness, and a likely preventive role - namely, identification of lesions that have not yet undergone malignant transformation but may do so over time if left untreated [2,6].</w:t>
      </w:r>
    </w:p>
    <w:p w:rsidR="008F50F5" w:rsidRDefault="004D54FF" w:rsidP="00540D1B">
      <w:pPr>
        <w:pStyle w:val="Tekstpodstawowy"/>
        <w:spacing w:line="256" w:lineRule="auto"/>
        <w:ind w:left="199" w:right="303" w:firstLine="158"/>
        <w:jc w:val="both"/>
      </w:pPr>
      <w:r>
        <w:rPr>
          <w:color w:val="F5821F"/>
          <w:spacing w:val="-2"/>
        </w:rPr>
        <w:t>Summary</w:t>
      </w:r>
    </w:p>
    <w:p w:rsidR="004D54FF" w:rsidRDefault="004D54FF" w:rsidP="00296855">
      <w:pPr>
        <w:pStyle w:val="Tekstpodstawowy"/>
        <w:spacing w:line="256" w:lineRule="auto"/>
        <w:ind w:left="199" w:right="303" w:firstLine="158"/>
        <w:jc w:val="both"/>
      </w:pPr>
      <w:r w:rsidRPr="004D54FF">
        <w:rPr>
          <w:color w:val="231F20"/>
          <w:spacing w:val="-6"/>
        </w:rPr>
        <w:t>Iridological analysis is quick and painless [2,4]. The aim of iridology is not to frighten people but to promote prevention [2,5]. Who, if not we—eye care professionals such as ophthalmologists, optometrists, and even opticians—could incorporate iridology as an extension of our diagnostic methods, given that we look into the eyes and irises of several, or even dozens, of our patients/clients every day?</w:t>
      </w:r>
    </w:p>
    <w:p w:rsidR="004D54FF" w:rsidRPr="004D54FF" w:rsidRDefault="004D54FF" w:rsidP="00296855">
      <w:pPr>
        <w:pStyle w:val="Tekstpodstawowy"/>
        <w:spacing w:line="256" w:lineRule="auto"/>
        <w:ind w:left="199" w:right="303" w:firstLine="158"/>
        <w:jc w:val="both"/>
        <w:rPr>
          <w:color w:val="231F20"/>
          <w:spacing w:val="-6"/>
        </w:rPr>
      </w:pPr>
      <w:r w:rsidRPr="004D54FF">
        <w:rPr>
          <w:color w:val="231F20"/>
          <w:spacing w:val="-6"/>
        </w:rPr>
        <w:t xml:space="preserve">By carrying out our daily work, observing the anterior segment of the eye (including the iris), and incorporating iridology, we can support our patients in maintaining their health. By identifying so-called warning signs, we may encourage patients to undergo targeted preventive examinations, which can </w:t>
      </w:r>
      <w:proofErr w:type="gramStart"/>
      <w:r w:rsidRPr="004D54FF">
        <w:rPr>
          <w:color w:val="231F20"/>
          <w:spacing w:val="-6"/>
        </w:rPr>
        <w:t>often</w:t>
      </w:r>
      <w:proofErr w:type="gramEnd"/>
      <w:r w:rsidRPr="004D54FF">
        <w:rPr>
          <w:color w:val="231F20"/>
          <w:spacing w:val="-6"/>
        </w:rPr>
        <w:t xml:space="preserve"> be life-saving.</w:t>
      </w:r>
    </w:p>
    <w:p w:rsidR="004D54FF" w:rsidRPr="004D54FF" w:rsidRDefault="004D54FF" w:rsidP="004D54FF">
      <w:pPr>
        <w:pStyle w:val="Tekstpodstawowy"/>
        <w:spacing w:line="256" w:lineRule="auto"/>
        <w:ind w:left="199" w:right="303" w:firstLine="158"/>
        <w:jc w:val="both"/>
        <w:rPr>
          <w:color w:val="231F20"/>
          <w:spacing w:val="-6"/>
        </w:rPr>
      </w:pPr>
    </w:p>
    <w:p w:rsidR="008F50F5" w:rsidRDefault="009A305D" w:rsidP="004D54FF">
      <w:pPr>
        <w:pStyle w:val="Tekstpodstawowy"/>
        <w:spacing w:before="3"/>
        <w:rPr>
          <w:sz w:val="7"/>
        </w:rPr>
      </w:pPr>
      <w:r>
        <w:rPr>
          <w:noProof/>
          <w:sz w:val="7"/>
          <w:lang w:eastAsia="pl-PL"/>
        </w:rPr>
        <mc:AlternateContent>
          <mc:Choice Requires="wpg">
            <w:drawing>
              <wp:anchor distT="0" distB="0" distL="0" distR="0" simplePos="0" relativeHeight="487591424" behindDoc="1" locked="0" layoutInCell="1" allowOverlap="1" wp14:anchorId="54349AB6" wp14:editId="012011E3">
                <wp:simplePos x="0" y="0"/>
                <wp:positionH relativeFrom="page">
                  <wp:posOffset>4223529</wp:posOffset>
                </wp:positionH>
                <wp:positionV relativeFrom="paragraph">
                  <wp:posOffset>69066</wp:posOffset>
                </wp:positionV>
                <wp:extent cx="673735" cy="113664"/>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735" cy="113664"/>
                          <a:chOff x="0" y="0"/>
                          <a:chExt cx="673735" cy="113664"/>
                        </a:xfrm>
                      </wpg:grpSpPr>
                      <wps:wsp>
                        <wps:cNvPr id="12" name="Graphic 12"/>
                        <wps:cNvSpPr/>
                        <wps:spPr>
                          <a:xfrm>
                            <a:off x="0" y="11324"/>
                            <a:ext cx="673735" cy="92710"/>
                          </a:xfrm>
                          <a:custGeom>
                            <a:avLst/>
                            <a:gdLst/>
                            <a:ahLst/>
                            <a:cxnLst/>
                            <a:rect l="l" t="t" r="r" b="b"/>
                            <a:pathLst>
                              <a:path w="673735" h="92710">
                                <a:moveTo>
                                  <a:pt x="647801" y="0"/>
                                </a:moveTo>
                                <a:lnTo>
                                  <a:pt x="25400" y="0"/>
                                </a:lnTo>
                                <a:lnTo>
                                  <a:pt x="10715" y="396"/>
                                </a:lnTo>
                                <a:lnTo>
                                  <a:pt x="3175" y="3174"/>
                                </a:lnTo>
                                <a:lnTo>
                                  <a:pt x="396" y="10715"/>
                                </a:lnTo>
                                <a:lnTo>
                                  <a:pt x="0" y="25399"/>
                                </a:lnTo>
                                <a:lnTo>
                                  <a:pt x="0" y="67195"/>
                                </a:lnTo>
                                <a:lnTo>
                                  <a:pt x="396" y="81880"/>
                                </a:lnTo>
                                <a:lnTo>
                                  <a:pt x="3175" y="89420"/>
                                </a:lnTo>
                                <a:lnTo>
                                  <a:pt x="10715" y="92198"/>
                                </a:lnTo>
                                <a:lnTo>
                                  <a:pt x="25400" y="92595"/>
                                </a:lnTo>
                                <a:lnTo>
                                  <a:pt x="647801" y="92595"/>
                                </a:lnTo>
                                <a:lnTo>
                                  <a:pt x="662485" y="92198"/>
                                </a:lnTo>
                                <a:lnTo>
                                  <a:pt x="670026" y="89420"/>
                                </a:lnTo>
                                <a:lnTo>
                                  <a:pt x="672804" y="81880"/>
                                </a:lnTo>
                                <a:lnTo>
                                  <a:pt x="673201" y="67195"/>
                                </a:lnTo>
                                <a:lnTo>
                                  <a:pt x="673201" y="25399"/>
                                </a:lnTo>
                                <a:lnTo>
                                  <a:pt x="672804" y="10715"/>
                                </a:lnTo>
                                <a:lnTo>
                                  <a:pt x="670026" y="3174"/>
                                </a:lnTo>
                                <a:lnTo>
                                  <a:pt x="662485" y="396"/>
                                </a:lnTo>
                                <a:lnTo>
                                  <a:pt x="647801" y="0"/>
                                </a:lnTo>
                                <a:close/>
                              </a:path>
                            </a:pathLst>
                          </a:custGeom>
                          <a:solidFill>
                            <a:srgbClr val="F5821F"/>
                          </a:solidFill>
                        </wps:spPr>
                        <wps:bodyPr wrap="square" lIns="0" tIns="0" rIns="0" bIns="0" rtlCol="0">
                          <a:prstTxWarp prst="textNoShape">
                            <a:avLst/>
                          </a:prstTxWarp>
                          <a:noAutofit/>
                        </wps:bodyPr>
                      </wps:wsp>
                      <wps:wsp>
                        <wps:cNvPr id="13" name="Textbox 13"/>
                        <wps:cNvSpPr txBox="1"/>
                        <wps:spPr>
                          <a:xfrm>
                            <a:off x="0" y="0"/>
                            <a:ext cx="673735" cy="113664"/>
                          </a:xfrm>
                          <a:prstGeom prst="rect">
                            <a:avLst/>
                          </a:prstGeom>
                        </wps:spPr>
                        <wps:txbx>
                          <w:txbxContent>
                            <w:p w:rsidR="008F50F5" w:rsidRDefault="00A70F8E">
                              <w:pPr>
                                <w:ind w:left="86"/>
                                <w:rPr>
                                  <w:rFonts w:ascii="Trebuchet MS" w:hAnsi="Trebuchet MS"/>
                                  <w:sz w:val="15"/>
                                </w:rPr>
                              </w:pPr>
                              <w:proofErr w:type="gramStart"/>
                              <w:r w:rsidRPr="00A70F8E">
                                <w:rPr>
                                  <w:rFonts w:ascii="Trebuchet MS" w:hAnsi="Trebuchet MS"/>
                                  <w:color w:val="FFFFFF"/>
                                  <w:spacing w:val="-2"/>
                                  <w:sz w:val="15"/>
                                </w:rPr>
                                <w:t>literature</w:t>
                              </w:r>
                              <w:proofErr w:type="gramEnd"/>
                            </w:p>
                          </w:txbxContent>
                        </wps:txbx>
                        <wps:bodyPr wrap="square" lIns="0" tIns="0" rIns="0" bIns="0" rtlCol="0">
                          <a:noAutofit/>
                        </wps:bodyPr>
                      </wps:wsp>
                    </wpg:wgp>
                  </a:graphicData>
                </a:graphic>
              </wp:anchor>
            </w:drawing>
          </mc:Choice>
          <mc:Fallback>
            <w:pict>
              <v:group id="Group 11" o:spid="_x0000_s1028" style="position:absolute;margin-left:332.55pt;margin-top:5.45pt;width:53.05pt;height:8.95pt;z-index:-15725056;mso-wrap-distance-left:0;mso-wrap-distance-right:0;mso-position-horizontal-relative:page" coordsize="6737,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">
                <v:shape id="Graphic 12" o:spid="_x0000_s1029" style="position:absolute;top:113;width:6737;height:927;visibility:visible;mso-wrap-style:square;v-text-anchor:top" coordsize="673735,92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ku6cIA&#10;AADbAAAADwAAAGRycy9kb3ducmV2LnhtbERPS4vCMBC+C/sfwizsTVM9LNo1igjiwoL4POxtbMa2&#10;2kxKk9bqrzeC4G0+vueMp60pREOVyy0r6PciEMSJ1TmnCva7RXcIwnlkjYVlUnAjB9PJR2eMsbZX&#10;3lCz9akIIexiVJB5X8ZSuiQjg65nS+LAnWxl0AdYpVJXeA3hppCDKPqWBnMODRmWNM8ouWxro+Av&#10;OY7u+//VWrtzfbicl/WsKUipr8929gPCU+vf4pf7V4f5A3j+Eg6Qk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S7pwgAAANsAAAAPAAAAAAAAAAAAAAAAAJgCAABkcnMvZG93&#10;bnJldi54bWxQSwUGAAAAAAQABAD1AAAAhwMAAAAA&#10;" path="m647801,l25400,,10715,396,3175,3174,396,10715,,25399,,67195,396,81880r2779,7540l10715,92198r14685,397l647801,92595r14684,-397l670026,89420r2778,-7540l673201,67195r,-41796l672804,10715,670026,3174,662485,396,647801,xe" fillcolor="#f5821f" stroked="f">
                  <v:path arrowok="t"/>
                </v:shape>
                <v:shapetype id="_x0000_t202" coordsize="21600,21600" o:spt="202" path="m,l,21600r21600,l21600,xe">
                  <v:stroke joinstyle="miter"/>
                  <v:path gradientshapeok="t" o:connecttype="rect"/>
                </v:shapetype>
                <v:shape id="Textbox 13" o:spid="_x0000_s1030" type="#_x0000_t202" style="position:absolute;width:6737;height:1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8F50F5" w:rsidRDefault="00A70F8E">
                        <w:pPr>
                          <w:ind w:left="86"/>
                          <w:rPr>
                            <w:rFonts w:ascii="Trebuchet MS" w:hAnsi="Trebuchet MS"/>
                            <w:sz w:val="15"/>
                          </w:rPr>
                        </w:pPr>
                        <w:r w:rsidRPr="00A70F8E">
                          <w:rPr>
                            <w:rFonts w:ascii="Trebuchet MS" w:hAnsi="Trebuchet MS"/>
                            <w:color w:val="FFFFFF"/>
                            <w:spacing w:val="-2"/>
                            <w:sz w:val="15"/>
                          </w:rPr>
                          <w:t>literature</w:t>
                        </w:r>
                      </w:p>
                    </w:txbxContent>
                  </v:textbox>
                </v:shape>
                <w10:wrap type="topAndBottom" anchorx="page"/>
              </v:group>
            </w:pict>
          </mc:Fallback>
        </mc:AlternateContent>
      </w:r>
    </w:p>
    <w:p w:rsidR="008F50F5" w:rsidRDefault="009A305D">
      <w:pPr>
        <w:pStyle w:val="Akapitzlist"/>
        <w:numPr>
          <w:ilvl w:val="0"/>
          <w:numId w:val="2"/>
        </w:numPr>
        <w:tabs>
          <w:tab w:val="left" w:pos="308"/>
        </w:tabs>
        <w:spacing w:before="34"/>
        <w:ind w:left="308" w:hanging="108"/>
        <w:rPr>
          <w:sz w:val="12"/>
        </w:rPr>
      </w:pPr>
      <w:r>
        <w:rPr>
          <w:color w:val="231F20"/>
          <w:spacing w:val="-2"/>
          <w:sz w:val="12"/>
        </w:rPr>
        <w:t>B.</w:t>
      </w:r>
      <w:r>
        <w:rPr>
          <w:color w:val="231F20"/>
          <w:spacing w:val="-14"/>
          <w:sz w:val="12"/>
        </w:rPr>
        <w:t xml:space="preserve"> </w:t>
      </w:r>
      <w:r>
        <w:rPr>
          <w:color w:val="231F20"/>
          <w:spacing w:val="-2"/>
          <w:sz w:val="12"/>
        </w:rPr>
        <w:t>S.</w:t>
      </w:r>
      <w:r>
        <w:rPr>
          <w:color w:val="231F20"/>
          <w:spacing w:val="-14"/>
          <w:sz w:val="12"/>
        </w:rPr>
        <w:t xml:space="preserve"> </w:t>
      </w:r>
      <w:r>
        <w:rPr>
          <w:color w:val="231F20"/>
          <w:spacing w:val="-2"/>
          <w:sz w:val="12"/>
        </w:rPr>
        <w:t>O’Brian.</w:t>
      </w:r>
      <w:r>
        <w:rPr>
          <w:color w:val="231F20"/>
          <w:spacing w:val="-14"/>
          <w:sz w:val="12"/>
        </w:rPr>
        <w:t xml:space="preserve"> </w:t>
      </w:r>
      <w:r>
        <w:rPr>
          <w:i/>
          <w:color w:val="231F20"/>
          <w:spacing w:val="-2"/>
          <w:sz w:val="12"/>
        </w:rPr>
        <w:t>Iridology</w:t>
      </w:r>
      <w:r>
        <w:rPr>
          <w:i/>
          <w:color w:val="231F20"/>
          <w:spacing w:val="-13"/>
          <w:sz w:val="12"/>
        </w:rPr>
        <w:t xml:space="preserve"> </w:t>
      </w:r>
      <w:r>
        <w:rPr>
          <w:i/>
          <w:color w:val="231F20"/>
          <w:spacing w:val="-2"/>
          <w:sz w:val="12"/>
        </w:rPr>
        <w:t>Textbook:</w:t>
      </w:r>
      <w:r>
        <w:rPr>
          <w:i/>
          <w:color w:val="231F20"/>
          <w:spacing w:val="-14"/>
          <w:sz w:val="12"/>
        </w:rPr>
        <w:t xml:space="preserve"> </w:t>
      </w:r>
      <w:r>
        <w:rPr>
          <w:i/>
          <w:color w:val="231F20"/>
          <w:spacing w:val="-2"/>
          <w:sz w:val="12"/>
        </w:rPr>
        <w:t>the</w:t>
      </w:r>
      <w:r>
        <w:rPr>
          <w:i/>
          <w:color w:val="231F20"/>
          <w:spacing w:val="-14"/>
          <w:sz w:val="12"/>
        </w:rPr>
        <w:t xml:space="preserve"> </w:t>
      </w:r>
      <w:r>
        <w:rPr>
          <w:i/>
          <w:color w:val="231F20"/>
          <w:spacing w:val="-2"/>
          <w:sz w:val="12"/>
        </w:rPr>
        <w:t>Core</w:t>
      </w:r>
      <w:r>
        <w:rPr>
          <w:i/>
          <w:color w:val="231F20"/>
          <w:spacing w:val="-14"/>
          <w:sz w:val="12"/>
        </w:rPr>
        <w:t xml:space="preserve"> </w:t>
      </w:r>
      <w:r>
        <w:rPr>
          <w:i/>
          <w:color w:val="231F20"/>
          <w:spacing w:val="-2"/>
          <w:sz w:val="12"/>
        </w:rPr>
        <w:t>Curriculum.</w:t>
      </w:r>
      <w:r>
        <w:rPr>
          <w:i/>
          <w:color w:val="231F20"/>
          <w:spacing w:val="-13"/>
          <w:sz w:val="12"/>
        </w:rPr>
        <w:t xml:space="preserve"> </w:t>
      </w:r>
      <w:r>
        <w:rPr>
          <w:i/>
          <w:color w:val="231F20"/>
          <w:spacing w:val="-2"/>
          <w:sz w:val="12"/>
        </w:rPr>
        <w:t>Iris</w:t>
      </w:r>
      <w:r>
        <w:rPr>
          <w:i/>
          <w:color w:val="231F20"/>
          <w:spacing w:val="-14"/>
          <w:sz w:val="12"/>
        </w:rPr>
        <w:t xml:space="preserve"> </w:t>
      </w:r>
      <w:r>
        <w:rPr>
          <w:i/>
          <w:color w:val="231F20"/>
          <w:spacing w:val="-2"/>
          <w:sz w:val="12"/>
        </w:rPr>
        <w:t>analysis</w:t>
      </w:r>
      <w:r>
        <w:rPr>
          <w:i/>
          <w:color w:val="231F20"/>
          <w:spacing w:val="-14"/>
          <w:sz w:val="12"/>
        </w:rPr>
        <w:t xml:space="preserve"> </w:t>
      </w:r>
      <w:r>
        <w:rPr>
          <w:i/>
          <w:color w:val="231F20"/>
          <w:spacing w:val="-2"/>
          <w:sz w:val="12"/>
        </w:rPr>
        <w:t>Manual</w:t>
      </w:r>
      <w:r>
        <w:rPr>
          <w:color w:val="231F20"/>
          <w:spacing w:val="-2"/>
          <w:sz w:val="12"/>
        </w:rPr>
        <w:t>.</w:t>
      </w:r>
      <w:r>
        <w:rPr>
          <w:color w:val="231F20"/>
          <w:spacing w:val="-14"/>
          <w:sz w:val="12"/>
        </w:rPr>
        <w:t xml:space="preserve"> </w:t>
      </w:r>
      <w:r>
        <w:rPr>
          <w:color w:val="231F20"/>
          <w:spacing w:val="-4"/>
          <w:sz w:val="12"/>
        </w:rPr>
        <w:t>2015</w:t>
      </w:r>
    </w:p>
    <w:p w:rsidR="008F50F5" w:rsidRDefault="009A305D">
      <w:pPr>
        <w:pStyle w:val="Akapitzlist"/>
        <w:numPr>
          <w:ilvl w:val="0"/>
          <w:numId w:val="2"/>
        </w:numPr>
        <w:tabs>
          <w:tab w:val="left" w:pos="308"/>
        </w:tabs>
        <w:spacing w:before="1"/>
        <w:ind w:left="308" w:hanging="108"/>
        <w:rPr>
          <w:sz w:val="12"/>
        </w:rPr>
      </w:pPr>
      <w:r>
        <w:rPr>
          <w:color w:val="231F20"/>
          <w:spacing w:val="-4"/>
          <w:sz w:val="12"/>
        </w:rPr>
        <w:t>A.</w:t>
      </w:r>
      <w:r>
        <w:rPr>
          <w:color w:val="231F20"/>
          <w:spacing w:val="-15"/>
          <w:sz w:val="12"/>
        </w:rPr>
        <w:t xml:space="preserve"> </w:t>
      </w:r>
      <w:r>
        <w:rPr>
          <w:color w:val="231F20"/>
          <w:spacing w:val="-4"/>
          <w:sz w:val="12"/>
        </w:rPr>
        <w:t>Szmukała-Rostovceva.</w:t>
      </w:r>
      <w:r>
        <w:rPr>
          <w:color w:val="231F20"/>
          <w:spacing w:val="-14"/>
          <w:sz w:val="12"/>
        </w:rPr>
        <w:t xml:space="preserve"> </w:t>
      </w:r>
      <w:r>
        <w:rPr>
          <w:i/>
          <w:color w:val="231F20"/>
          <w:spacing w:val="-4"/>
          <w:sz w:val="12"/>
        </w:rPr>
        <w:t>Irydologia</w:t>
      </w:r>
      <w:r>
        <w:rPr>
          <w:i/>
          <w:color w:val="231F20"/>
          <w:spacing w:val="-14"/>
          <w:sz w:val="12"/>
        </w:rPr>
        <w:t xml:space="preserve"> </w:t>
      </w:r>
      <w:r>
        <w:rPr>
          <w:i/>
          <w:color w:val="231F20"/>
          <w:spacing w:val="-4"/>
          <w:sz w:val="12"/>
        </w:rPr>
        <w:t>zilustrowana</w:t>
      </w:r>
      <w:r>
        <w:rPr>
          <w:color w:val="231F20"/>
          <w:spacing w:val="-4"/>
          <w:sz w:val="12"/>
        </w:rPr>
        <w:t>.</w:t>
      </w:r>
      <w:r>
        <w:rPr>
          <w:color w:val="231F20"/>
          <w:spacing w:val="-14"/>
          <w:sz w:val="12"/>
        </w:rPr>
        <w:t xml:space="preserve"> </w:t>
      </w:r>
      <w:r>
        <w:rPr>
          <w:color w:val="231F20"/>
          <w:spacing w:val="-4"/>
          <w:sz w:val="12"/>
        </w:rPr>
        <w:t>GWP</w:t>
      </w:r>
      <w:r>
        <w:rPr>
          <w:color w:val="231F20"/>
          <w:spacing w:val="-14"/>
          <w:sz w:val="12"/>
        </w:rPr>
        <w:t xml:space="preserve"> </w:t>
      </w:r>
      <w:r>
        <w:rPr>
          <w:color w:val="231F20"/>
          <w:spacing w:val="-4"/>
          <w:sz w:val="12"/>
        </w:rPr>
        <w:t>Sopot</w:t>
      </w:r>
      <w:r>
        <w:rPr>
          <w:color w:val="231F20"/>
          <w:spacing w:val="-14"/>
          <w:sz w:val="12"/>
        </w:rPr>
        <w:t xml:space="preserve"> </w:t>
      </w:r>
      <w:r>
        <w:rPr>
          <w:color w:val="231F20"/>
          <w:spacing w:val="-4"/>
          <w:sz w:val="12"/>
        </w:rPr>
        <w:t>2014</w:t>
      </w:r>
    </w:p>
    <w:p w:rsidR="008F50F5" w:rsidRDefault="009A305D">
      <w:pPr>
        <w:pStyle w:val="Akapitzlist"/>
        <w:numPr>
          <w:ilvl w:val="0"/>
          <w:numId w:val="2"/>
        </w:numPr>
        <w:tabs>
          <w:tab w:val="left" w:pos="307"/>
        </w:tabs>
        <w:spacing w:before="0"/>
        <w:ind w:left="307" w:hanging="107"/>
        <w:rPr>
          <w:sz w:val="12"/>
        </w:rPr>
      </w:pPr>
      <w:r>
        <w:rPr>
          <w:color w:val="231F20"/>
          <w:spacing w:val="-6"/>
          <w:sz w:val="12"/>
        </w:rPr>
        <w:t>M.</w:t>
      </w:r>
      <w:r>
        <w:rPr>
          <w:color w:val="231F20"/>
          <w:spacing w:val="-9"/>
          <w:sz w:val="12"/>
        </w:rPr>
        <w:t xml:space="preserve"> </w:t>
      </w:r>
      <w:r>
        <w:rPr>
          <w:color w:val="231F20"/>
          <w:spacing w:val="-6"/>
          <w:sz w:val="12"/>
        </w:rPr>
        <w:t>Woźniak.</w:t>
      </w:r>
      <w:r>
        <w:rPr>
          <w:color w:val="231F20"/>
          <w:spacing w:val="-8"/>
          <w:sz w:val="12"/>
        </w:rPr>
        <w:t xml:space="preserve"> </w:t>
      </w:r>
      <w:r>
        <w:rPr>
          <w:i/>
          <w:color w:val="231F20"/>
          <w:spacing w:val="-6"/>
          <w:sz w:val="12"/>
        </w:rPr>
        <w:t>Oczy</w:t>
      </w:r>
      <w:r>
        <w:rPr>
          <w:i/>
          <w:color w:val="231F20"/>
          <w:spacing w:val="-9"/>
          <w:sz w:val="12"/>
        </w:rPr>
        <w:t xml:space="preserve"> </w:t>
      </w:r>
      <w:r>
        <w:rPr>
          <w:i/>
          <w:color w:val="231F20"/>
          <w:spacing w:val="-6"/>
          <w:sz w:val="12"/>
        </w:rPr>
        <w:t>odbiciem</w:t>
      </w:r>
      <w:r>
        <w:rPr>
          <w:i/>
          <w:color w:val="231F20"/>
          <w:spacing w:val="-8"/>
          <w:sz w:val="12"/>
        </w:rPr>
        <w:t xml:space="preserve"> </w:t>
      </w:r>
      <w:r>
        <w:rPr>
          <w:i/>
          <w:color w:val="231F20"/>
          <w:spacing w:val="-6"/>
          <w:sz w:val="12"/>
        </w:rPr>
        <w:t>zdrowia.</w:t>
      </w:r>
      <w:r>
        <w:rPr>
          <w:i/>
          <w:color w:val="231F20"/>
          <w:spacing w:val="-9"/>
          <w:sz w:val="12"/>
        </w:rPr>
        <w:t xml:space="preserve"> </w:t>
      </w:r>
      <w:r>
        <w:rPr>
          <w:i/>
          <w:color w:val="231F20"/>
          <w:spacing w:val="-6"/>
          <w:sz w:val="12"/>
        </w:rPr>
        <w:t>Irydologia</w:t>
      </w:r>
      <w:r>
        <w:rPr>
          <w:i/>
          <w:color w:val="231F20"/>
          <w:spacing w:val="-8"/>
          <w:sz w:val="12"/>
        </w:rPr>
        <w:t xml:space="preserve"> </w:t>
      </w:r>
      <w:r>
        <w:rPr>
          <w:i/>
          <w:color w:val="231F20"/>
          <w:spacing w:val="-6"/>
          <w:sz w:val="12"/>
        </w:rPr>
        <w:t>i</w:t>
      </w:r>
      <w:r>
        <w:rPr>
          <w:i/>
          <w:color w:val="231F20"/>
          <w:spacing w:val="-9"/>
          <w:sz w:val="12"/>
        </w:rPr>
        <w:t xml:space="preserve"> </w:t>
      </w:r>
      <w:r>
        <w:rPr>
          <w:i/>
          <w:color w:val="231F20"/>
          <w:spacing w:val="-6"/>
          <w:sz w:val="12"/>
        </w:rPr>
        <w:t>ziołolecznictwo</w:t>
      </w:r>
      <w:r>
        <w:rPr>
          <w:color w:val="231F20"/>
          <w:spacing w:val="-6"/>
          <w:sz w:val="12"/>
        </w:rPr>
        <w:t>.</w:t>
      </w:r>
      <w:r>
        <w:rPr>
          <w:color w:val="231F20"/>
          <w:spacing w:val="-8"/>
          <w:sz w:val="12"/>
        </w:rPr>
        <w:t xml:space="preserve"> </w:t>
      </w:r>
      <w:r>
        <w:rPr>
          <w:color w:val="231F20"/>
          <w:spacing w:val="-6"/>
          <w:sz w:val="12"/>
        </w:rPr>
        <w:t>Oficyna</w:t>
      </w:r>
      <w:r>
        <w:rPr>
          <w:color w:val="231F20"/>
          <w:spacing w:val="-9"/>
          <w:sz w:val="12"/>
        </w:rPr>
        <w:t xml:space="preserve"> </w:t>
      </w:r>
      <w:r>
        <w:rPr>
          <w:color w:val="231F20"/>
          <w:spacing w:val="-6"/>
          <w:sz w:val="12"/>
        </w:rPr>
        <w:t>Wydawniczo-Poligraficzna</w:t>
      </w:r>
      <w:r>
        <w:rPr>
          <w:color w:val="231F20"/>
          <w:spacing w:val="-8"/>
          <w:sz w:val="12"/>
        </w:rPr>
        <w:t xml:space="preserve"> </w:t>
      </w:r>
      <w:r>
        <w:rPr>
          <w:color w:val="231F20"/>
          <w:spacing w:val="-6"/>
          <w:sz w:val="12"/>
        </w:rPr>
        <w:t>„ADAM”.</w:t>
      </w:r>
      <w:r>
        <w:rPr>
          <w:color w:val="231F20"/>
          <w:spacing w:val="-8"/>
          <w:sz w:val="12"/>
        </w:rPr>
        <w:t xml:space="preserve"> </w:t>
      </w:r>
      <w:r>
        <w:rPr>
          <w:color w:val="231F20"/>
          <w:spacing w:val="-6"/>
          <w:sz w:val="12"/>
        </w:rPr>
        <w:t>Warszawa</w:t>
      </w:r>
      <w:r>
        <w:rPr>
          <w:color w:val="231F20"/>
          <w:spacing w:val="-9"/>
          <w:sz w:val="12"/>
        </w:rPr>
        <w:t xml:space="preserve"> </w:t>
      </w:r>
      <w:r>
        <w:rPr>
          <w:color w:val="231F20"/>
          <w:spacing w:val="-6"/>
          <w:sz w:val="12"/>
        </w:rPr>
        <w:t>2008</w:t>
      </w:r>
    </w:p>
    <w:p w:rsidR="008F50F5" w:rsidRDefault="009A305D">
      <w:pPr>
        <w:pStyle w:val="Akapitzlist"/>
        <w:numPr>
          <w:ilvl w:val="0"/>
          <w:numId w:val="2"/>
        </w:numPr>
        <w:tabs>
          <w:tab w:val="left" w:pos="308"/>
        </w:tabs>
        <w:spacing w:before="1"/>
        <w:ind w:left="308" w:hanging="108"/>
        <w:rPr>
          <w:sz w:val="12"/>
        </w:rPr>
      </w:pPr>
      <w:r>
        <w:rPr>
          <w:color w:val="231F20"/>
          <w:spacing w:val="-4"/>
          <w:sz w:val="12"/>
        </w:rPr>
        <w:t>T.</w:t>
      </w:r>
      <w:r>
        <w:rPr>
          <w:color w:val="231F20"/>
          <w:spacing w:val="-9"/>
          <w:sz w:val="12"/>
        </w:rPr>
        <w:t xml:space="preserve"> </w:t>
      </w:r>
      <w:r>
        <w:rPr>
          <w:color w:val="231F20"/>
          <w:spacing w:val="-4"/>
          <w:sz w:val="12"/>
        </w:rPr>
        <w:t>Miller.</w:t>
      </w:r>
      <w:r>
        <w:rPr>
          <w:color w:val="231F20"/>
          <w:spacing w:val="-8"/>
          <w:sz w:val="12"/>
        </w:rPr>
        <w:t xml:space="preserve"> </w:t>
      </w:r>
      <w:r>
        <w:rPr>
          <w:i/>
          <w:color w:val="231F20"/>
          <w:spacing w:val="-4"/>
          <w:sz w:val="12"/>
        </w:rPr>
        <w:t>Integrated</w:t>
      </w:r>
      <w:r>
        <w:rPr>
          <w:i/>
          <w:color w:val="231F20"/>
          <w:spacing w:val="-9"/>
          <w:sz w:val="12"/>
        </w:rPr>
        <w:t xml:space="preserve"> </w:t>
      </w:r>
      <w:r>
        <w:rPr>
          <w:i/>
          <w:color w:val="231F20"/>
          <w:spacing w:val="-4"/>
          <w:sz w:val="12"/>
        </w:rPr>
        <w:t>Iridology</w:t>
      </w:r>
      <w:r>
        <w:rPr>
          <w:i/>
          <w:color w:val="231F20"/>
          <w:spacing w:val="-8"/>
          <w:sz w:val="12"/>
        </w:rPr>
        <w:t xml:space="preserve"> </w:t>
      </w:r>
      <w:r>
        <w:rPr>
          <w:i/>
          <w:color w:val="231F20"/>
          <w:spacing w:val="-4"/>
          <w:sz w:val="12"/>
        </w:rPr>
        <w:t>textbook</w:t>
      </w:r>
      <w:r>
        <w:rPr>
          <w:color w:val="231F20"/>
          <w:spacing w:val="-4"/>
          <w:sz w:val="12"/>
        </w:rPr>
        <w:t>.</w:t>
      </w:r>
      <w:r>
        <w:rPr>
          <w:color w:val="231F20"/>
          <w:spacing w:val="-9"/>
          <w:sz w:val="12"/>
        </w:rPr>
        <w:t xml:space="preserve"> </w:t>
      </w:r>
      <w:r>
        <w:rPr>
          <w:color w:val="231F20"/>
          <w:spacing w:val="-4"/>
          <w:sz w:val="12"/>
        </w:rPr>
        <w:t>Ligare</w:t>
      </w:r>
      <w:r>
        <w:rPr>
          <w:color w:val="231F20"/>
          <w:spacing w:val="-8"/>
          <w:sz w:val="12"/>
        </w:rPr>
        <w:t xml:space="preserve"> </w:t>
      </w:r>
      <w:r>
        <w:rPr>
          <w:color w:val="231F20"/>
          <w:spacing w:val="-4"/>
          <w:sz w:val="12"/>
        </w:rPr>
        <w:t>Book</w:t>
      </w:r>
      <w:r>
        <w:rPr>
          <w:color w:val="231F20"/>
          <w:spacing w:val="-9"/>
          <w:sz w:val="12"/>
        </w:rPr>
        <w:t xml:space="preserve"> </w:t>
      </w:r>
      <w:r>
        <w:rPr>
          <w:color w:val="231F20"/>
          <w:spacing w:val="-4"/>
          <w:sz w:val="12"/>
        </w:rPr>
        <w:t>Printers</w:t>
      </w:r>
      <w:r>
        <w:rPr>
          <w:color w:val="231F20"/>
          <w:spacing w:val="-8"/>
          <w:sz w:val="12"/>
        </w:rPr>
        <w:t xml:space="preserve"> </w:t>
      </w:r>
      <w:r>
        <w:rPr>
          <w:color w:val="231F20"/>
          <w:spacing w:val="-4"/>
          <w:sz w:val="12"/>
        </w:rPr>
        <w:t>Australia</w:t>
      </w:r>
      <w:r>
        <w:rPr>
          <w:color w:val="231F20"/>
          <w:spacing w:val="-9"/>
          <w:sz w:val="12"/>
        </w:rPr>
        <w:t xml:space="preserve"> </w:t>
      </w:r>
      <w:r>
        <w:rPr>
          <w:color w:val="231F20"/>
          <w:spacing w:val="-4"/>
          <w:sz w:val="12"/>
        </w:rPr>
        <w:t>2016</w:t>
      </w:r>
    </w:p>
    <w:p w:rsidR="008F50F5" w:rsidRDefault="009A305D">
      <w:pPr>
        <w:pStyle w:val="Akapitzlist"/>
        <w:numPr>
          <w:ilvl w:val="0"/>
          <w:numId w:val="2"/>
        </w:numPr>
        <w:tabs>
          <w:tab w:val="left" w:pos="308"/>
        </w:tabs>
        <w:spacing w:before="1"/>
        <w:ind w:left="308" w:hanging="108"/>
        <w:rPr>
          <w:sz w:val="12"/>
        </w:rPr>
      </w:pPr>
      <w:r>
        <w:rPr>
          <w:color w:val="231F20"/>
          <w:spacing w:val="-8"/>
          <w:sz w:val="12"/>
        </w:rPr>
        <w:t>M.</w:t>
      </w:r>
      <w:r>
        <w:rPr>
          <w:color w:val="231F20"/>
          <w:spacing w:val="-2"/>
          <w:sz w:val="12"/>
        </w:rPr>
        <w:t xml:space="preserve"> </w:t>
      </w:r>
      <w:r>
        <w:rPr>
          <w:color w:val="231F20"/>
          <w:spacing w:val="-8"/>
          <w:sz w:val="12"/>
        </w:rPr>
        <w:t>Woźniak.</w:t>
      </w:r>
      <w:r>
        <w:rPr>
          <w:color w:val="231F20"/>
          <w:spacing w:val="-1"/>
          <w:sz w:val="12"/>
        </w:rPr>
        <w:t xml:space="preserve"> </w:t>
      </w:r>
      <w:r>
        <w:rPr>
          <w:i/>
          <w:color w:val="231F20"/>
          <w:spacing w:val="-8"/>
          <w:sz w:val="12"/>
        </w:rPr>
        <w:t>Irydodiagnostyka</w:t>
      </w:r>
      <w:r>
        <w:rPr>
          <w:color w:val="231F20"/>
          <w:spacing w:val="-8"/>
          <w:sz w:val="12"/>
        </w:rPr>
        <w:t>.</w:t>
      </w:r>
      <w:r>
        <w:rPr>
          <w:color w:val="231F20"/>
          <w:spacing w:val="-1"/>
          <w:sz w:val="12"/>
        </w:rPr>
        <w:t xml:space="preserve"> </w:t>
      </w:r>
      <w:r>
        <w:rPr>
          <w:color w:val="231F20"/>
          <w:spacing w:val="-8"/>
          <w:sz w:val="12"/>
        </w:rPr>
        <w:t>Wydawnictwo</w:t>
      </w:r>
      <w:r>
        <w:rPr>
          <w:color w:val="231F20"/>
          <w:spacing w:val="-1"/>
          <w:sz w:val="12"/>
        </w:rPr>
        <w:t xml:space="preserve"> </w:t>
      </w:r>
      <w:r>
        <w:rPr>
          <w:color w:val="231F20"/>
          <w:spacing w:val="-8"/>
          <w:sz w:val="12"/>
        </w:rPr>
        <w:t>Tramp</w:t>
      </w:r>
      <w:r>
        <w:rPr>
          <w:color w:val="231F20"/>
          <w:spacing w:val="-1"/>
          <w:sz w:val="12"/>
        </w:rPr>
        <w:t xml:space="preserve"> </w:t>
      </w:r>
      <w:r>
        <w:rPr>
          <w:color w:val="231F20"/>
          <w:spacing w:val="-8"/>
          <w:sz w:val="12"/>
        </w:rPr>
        <w:t>Radom</w:t>
      </w:r>
      <w:r>
        <w:rPr>
          <w:color w:val="231F20"/>
          <w:spacing w:val="-1"/>
          <w:sz w:val="12"/>
        </w:rPr>
        <w:t xml:space="preserve"> </w:t>
      </w:r>
      <w:r>
        <w:rPr>
          <w:color w:val="231F20"/>
          <w:spacing w:val="-8"/>
          <w:sz w:val="12"/>
        </w:rPr>
        <w:t>1990</w:t>
      </w:r>
    </w:p>
    <w:p w:rsidR="008F50F5" w:rsidRDefault="009A305D">
      <w:pPr>
        <w:pStyle w:val="Akapitzlist"/>
        <w:numPr>
          <w:ilvl w:val="0"/>
          <w:numId w:val="2"/>
        </w:numPr>
        <w:tabs>
          <w:tab w:val="left" w:pos="308"/>
        </w:tabs>
        <w:spacing w:before="1"/>
        <w:ind w:left="308" w:hanging="108"/>
        <w:rPr>
          <w:sz w:val="12"/>
        </w:rPr>
      </w:pPr>
      <w:r>
        <w:rPr>
          <w:color w:val="231F20"/>
          <w:spacing w:val="-2"/>
          <w:sz w:val="12"/>
        </w:rPr>
        <w:t>B.</w:t>
      </w:r>
      <w:r>
        <w:rPr>
          <w:color w:val="231F20"/>
          <w:spacing w:val="-13"/>
          <w:sz w:val="12"/>
        </w:rPr>
        <w:t xml:space="preserve"> </w:t>
      </w:r>
      <w:r>
        <w:rPr>
          <w:color w:val="231F20"/>
          <w:spacing w:val="-2"/>
          <w:sz w:val="12"/>
        </w:rPr>
        <w:t>Jensen.</w:t>
      </w:r>
      <w:r>
        <w:rPr>
          <w:color w:val="231F20"/>
          <w:spacing w:val="-12"/>
          <w:sz w:val="12"/>
        </w:rPr>
        <w:t xml:space="preserve"> </w:t>
      </w:r>
      <w:r>
        <w:rPr>
          <w:i/>
          <w:color w:val="231F20"/>
          <w:spacing w:val="-2"/>
          <w:sz w:val="12"/>
        </w:rPr>
        <w:t>The</w:t>
      </w:r>
      <w:r>
        <w:rPr>
          <w:i/>
          <w:color w:val="231F20"/>
          <w:spacing w:val="-12"/>
          <w:sz w:val="12"/>
        </w:rPr>
        <w:t xml:space="preserve"> </w:t>
      </w:r>
      <w:r>
        <w:rPr>
          <w:i/>
          <w:color w:val="231F20"/>
          <w:spacing w:val="-2"/>
          <w:sz w:val="12"/>
        </w:rPr>
        <w:t>science</w:t>
      </w:r>
      <w:r>
        <w:rPr>
          <w:i/>
          <w:color w:val="231F20"/>
          <w:spacing w:val="-12"/>
          <w:sz w:val="12"/>
        </w:rPr>
        <w:t xml:space="preserve"> </w:t>
      </w:r>
      <w:r>
        <w:rPr>
          <w:i/>
          <w:color w:val="231F20"/>
          <w:spacing w:val="-2"/>
          <w:sz w:val="12"/>
        </w:rPr>
        <w:t>and</w:t>
      </w:r>
      <w:r>
        <w:rPr>
          <w:i/>
          <w:color w:val="231F20"/>
          <w:spacing w:val="-12"/>
          <w:sz w:val="12"/>
        </w:rPr>
        <w:t xml:space="preserve"> </w:t>
      </w:r>
      <w:r>
        <w:rPr>
          <w:i/>
          <w:color w:val="231F20"/>
          <w:spacing w:val="-2"/>
          <w:sz w:val="12"/>
        </w:rPr>
        <w:t>practice</w:t>
      </w:r>
      <w:r>
        <w:rPr>
          <w:i/>
          <w:color w:val="231F20"/>
          <w:spacing w:val="-12"/>
          <w:sz w:val="12"/>
        </w:rPr>
        <w:t xml:space="preserve"> </w:t>
      </w:r>
      <w:r>
        <w:rPr>
          <w:i/>
          <w:color w:val="231F20"/>
          <w:spacing w:val="-2"/>
          <w:sz w:val="12"/>
        </w:rPr>
        <w:t>of</w:t>
      </w:r>
      <w:r>
        <w:rPr>
          <w:i/>
          <w:color w:val="231F20"/>
          <w:spacing w:val="-12"/>
          <w:sz w:val="12"/>
        </w:rPr>
        <w:t xml:space="preserve"> </w:t>
      </w:r>
      <w:r>
        <w:rPr>
          <w:i/>
          <w:color w:val="231F20"/>
          <w:spacing w:val="-2"/>
          <w:sz w:val="12"/>
        </w:rPr>
        <w:t>Iridology</w:t>
      </w:r>
      <w:r>
        <w:rPr>
          <w:color w:val="231F20"/>
          <w:spacing w:val="-2"/>
          <w:sz w:val="12"/>
        </w:rPr>
        <w:t>.</w:t>
      </w:r>
      <w:r>
        <w:rPr>
          <w:color w:val="231F20"/>
          <w:spacing w:val="-12"/>
          <w:sz w:val="12"/>
        </w:rPr>
        <w:t xml:space="preserve"> </w:t>
      </w:r>
      <w:r>
        <w:rPr>
          <w:color w:val="231F20"/>
          <w:spacing w:val="-2"/>
          <w:sz w:val="12"/>
        </w:rPr>
        <w:t>USA</w:t>
      </w:r>
      <w:r>
        <w:rPr>
          <w:color w:val="231F20"/>
          <w:spacing w:val="-12"/>
          <w:sz w:val="12"/>
        </w:rPr>
        <w:t xml:space="preserve"> </w:t>
      </w:r>
      <w:r>
        <w:rPr>
          <w:color w:val="231F20"/>
          <w:spacing w:val="-4"/>
          <w:sz w:val="12"/>
        </w:rPr>
        <w:t>1989</w:t>
      </w:r>
    </w:p>
    <w:p w:rsidR="008F50F5" w:rsidRDefault="009A305D">
      <w:pPr>
        <w:pStyle w:val="Akapitzlist"/>
        <w:numPr>
          <w:ilvl w:val="0"/>
          <w:numId w:val="2"/>
        </w:numPr>
        <w:tabs>
          <w:tab w:val="left" w:pos="308"/>
        </w:tabs>
        <w:spacing w:before="1"/>
        <w:ind w:left="308" w:hanging="108"/>
        <w:rPr>
          <w:sz w:val="12"/>
        </w:rPr>
      </w:pPr>
      <w:r>
        <w:rPr>
          <w:color w:val="231F20"/>
          <w:spacing w:val="-6"/>
          <w:sz w:val="12"/>
        </w:rPr>
        <w:t>M. Bidziński.</w:t>
      </w:r>
      <w:r>
        <w:rPr>
          <w:color w:val="231F20"/>
          <w:spacing w:val="-5"/>
          <w:sz w:val="12"/>
        </w:rPr>
        <w:t xml:space="preserve"> </w:t>
      </w:r>
      <w:r>
        <w:rPr>
          <w:i/>
          <w:color w:val="231F20"/>
          <w:spacing w:val="-6"/>
          <w:sz w:val="12"/>
        </w:rPr>
        <w:t>Onkologia. Rak</w:t>
      </w:r>
      <w:r>
        <w:rPr>
          <w:i/>
          <w:color w:val="231F20"/>
          <w:spacing w:val="-5"/>
          <w:sz w:val="12"/>
        </w:rPr>
        <w:t xml:space="preserve"> </w:t>
      </w:r>
      <w:r>
        <w:rPr>
          <w:i/>
          <w:color w:val="231F20"/>
          <w:spacing w:val="-6"/>
          <w:sz w:val="12"/>
        </w:rPr>
        <w:t>jajnika</w:t>
      </w:r>
      <w:r>
        <w:rPr>
          <w:i/>
          <w:color w:val="231F20"/>
          <w:spacing w:val="-5"/>
          <w:sz w:val="12"/>
        </w:rPr>
        <w:t xml:space="preserve"> </w:t>
      </w:r>
      <w:r>
        <w:rPr>
          <w:i/>
          <w:color w:val="231F20"/>
          <w:spacing w:val="-6"/>
          <w:sz w:val="12"/>
        </w:rPr>
        <w:t>2. Najnowsze</w:t>
      </w:r>
      <w:r>
        <w:rPr>
          <w:i/>
          <w:color w:val="231F20"/>
          <w:spacing w:val="-5"/>
          <w:sz w:val="12"/>
        </w:rPr>
        <w:t xml:space="preserve"> </w:t>
      </w:r>
      <w:r>
        <w:rPr>
          <w:i/>
          <w:color w:val="231F20"/>
          <w:spacing w:val="-6"/>
          <w:sz w:val="12"/>
        </w:rPr>
        <w:t>metody leczenia</w:t>
      </w:r>
      <w:r>
        <w:rPr>
          <w:color w:val="231F20"/>
          <w:spacing w:val="-6"/>
          <w:sz w:val="12"/>
        </w:rPr>
        <w:t>.</w:t>
      </w:r>
      <w:r>
        <w:rPr>
          <w:color w:val="231F20"/>
          <w:spacing w:val="-5"/>
          <w:sz w:val="12"/>
        </w:rPr>
        <w:t xml:space="preserve"> </w:t>
      </w:r>
      <w:r>
        <w:rPr>
          <w:color w:val="231F20"/>
          <w:spacing w:val="-6"/>
          <w:sz w:val="12"/>
        </w:rPr>
        <w:t>Wydawnictwo</w:t>
      </w:r>
      <w:r>
        <w:rPr>
          <w:color w:val="231F20"/>
          <w:spacing w:val="-5"/>
          <w:sz w:val="12"/>
        </w:rPr>
        <w:t xml:space="preserve"> </w:t>
      </w:r>
      <w:r>
        <w:rPr>
          <w:color w:val="231F20"/>
          <w:spacing w:val="-6"/>
          <w:sz w:val="12"/>
        </w:rPr>
        <w:t>lekarskie PZWL</w:t>
      </w:r>
      <w:r>
        <w:rPr>
          <w:color w:val="231F20"/>
          <w:spacing w:val="-5"/>
          <w:sz w:val="12"/>
        </w:rPr>
        <w:t xml:space="preserve"> </w:t>
      </w:r>
      <w:r>
        <w:rPr>
          <w:color w:val="231F20"/>
          <w:spacing w:val="-6"/>
          <w:sz w:val="12"/>
        </w:rPr>
        <w:t>2023</w:t>
      </w:r>
    </w:p>
    <w:p w:rsidR="008F50F5" w:rsidRDefault="009A305D">
      <w:pPr>
        <w:pStyle w:val="Akapitzlist"/>
        <w:numPr>
          <w:ilvl w:val="0"/>
          <w:numId w:val="2"/>
        </w:numPr>
        <w:tabs>
          <w:tab w:val="left" w:pos="308"/>
        </w:tabs>
        <w:spacing w:before="1"/>
        <w:ind w:left="308" w:hanging="108"/>
        <w:rPr>
          <w:i/>
          <w:sz w:val="12"/>
        </w:rPr>
      </w:pPr>
      <w:r>
        <w:rPr>
          <w:color w:val="231F20"/>
          <w:spacing w:val="-6"/>
          <w:sz w:val="12"/>
        </w:rPr>
        <w:t>M.</w:t>
      </w:r>
      <w:r>
        <w:rPr>
          <w:color w:val="231F20"/>
          <w:spacing w:val="-10"/>
          <w:sz w:val="12"/>
        </w:rPr>
        <w:t xml:space="preserve"> </w:t>
      </w:r>
      <w:r>
        <w:rPr>
          <w:color w:val="231F20"/>
          <w:spacing w:val="-6"/>
          <w:sz w:val="12"/>
        </w:rPr>
        <w:t>Fularz,</w:t>
      </w:r>
      <w:r>
        <w:rPr>
          <w:color w:val="231F20"/>
          <w:spacing w:val="-10"/>
          <w:sz w:val="12"/>
        </w:rPr>
        <w:t xml:space="preserve"> </w:t>
      </w:r>
      <w:r>
        <w:rPr>
          <w:color w:val="231F20"/>
          <w:spacing w:val="-6"/>
          <w:sz w:val="12"/>
        </w:rPr>
        <w:t>P</w:t>
      </w:r>
      <w:r>
        <w:rPr>
          <w:color w:val="231F20"/>
          <w:spacing w:val="-9"/>
          <w:sz w:val="12"/>
        </w:rPr>
        <w:t xml:space="preserve"> </w:t>
      </w:r>
      <w:r>
        <w:rPr>
          <w:color w:val="231F20"/>
          <w:spacing w:val="-6"/>
          <w:sz w:val="12"/>
        </w:rPr>
        <w:t>Adamiak,</w:t>
      </w:r>
      <w:r>
        <w:rPr>
          <w:color w:val="231F20"/>
          <w:spacing w:val="-10"/>
          <w:sz w:val="12"/>
        </w:rPr>
        <w:t xml:space="preserve"> </w:t>
      </w:r>
      <w:r>
        <w:rPr>
          <w:color w:val="231F20"/>
          <w:spacing w:val="-6"/>
          <w:sz w:val="12"/>
        </w:rPr>
        <w:t>R.</w:t>
      </w:r>
      <w:r>
        <w:rPr>
          <w:color w:val="231F20"/>
          <w:spacing w:val="-10"/>
          <w:sz w:val="12"/>
        </w:rPr>
        <w:t xml:space="preserve"> </w:t>
      </w:r>
      <w:r>
        <w:rPr>
          <w:color w:val="231F20"/>
          <w:spacing w:val="-6"/>
          <w:sz w:val="12"/>
        </w:rPr>
        <w:t>Czepczyński.</w:t>
      </w:r>
      <w:r>
        <w:rPr>
          <w:color w:val="231F20"/>
          <w:spacing w:val="-9"/>
          <w:sz w:val="12"/>
        </w:rPr>
        <w:t xml:space="preserve"> </w:t>
      </w:r>
      <w:r>
        <w:rPr>
          <w:color w:val="231F20"/>
          <w:spacing w:val="-6"/>
          <w:sz w:val="12"/>
        </w:rPr>
        <w:t>Pozytonowa</w:t>
      </w:r>
      <w:r>
        <w:rPr>
          <w:color w:val="231F20"/>
          <w:spacing w:val="-10"/>
          <w:sz w:val="12"/>
        </w:rPr>
        <w:t xml:space="preserve"> </w:t>
      </w:r>
      <w:r>
        <w:rPr>
          <w:color w:val="231F20"/>
          <w:spacing w:val="-6"/>
          <w:sz w:val="12"/>
        </w:rPr>
        <w:t>tomografia</w:t>
      </w:r>
      <w:r>
        <w:rPr>
          <w:color w:val="231F20"/>
          <w:spacing w:val="-10"/>
          <w:sz w:val="12"/>
        </w:rPr>
        <w:t xml:space="preserve"> </w:t>
      </w:r>
      <w:r>
        <w:rPr>
          <w:color w:val="231F20"/>
          <w:spacing w:val="-6"/>
          <w:sz w:val="12"/>
        </w:rPr>
        <w:t>emisyjna</w:t>
      </w:r>
      <w:r>
        <w:rPr>
          <w:color w:val="231F20"/>
          <w:spacing w:val="-9"/>
          <w:sz w:val="12"/>
        </w:rPr>
        <w:t xml:space="preserve"> </w:t>
      </w:r>
      <w:r>
        <w:rPr>
          <w:color w:val="231F20"/>
          <w:spacing w:val="-6"/>
          <w:sz w:val="12"/>
        </w:rPr>
        <w:t>(PET)</w:t>
      </w:r>
      <w:r>
        <w:rPr>
          <w:color w:val="231F20"/>
          <w:spacing w:val="-10"/>
          <w:sz w:val="12"/>
        </w:rPr>
        <w:t xml:space="preserve"> </w:t>
      </w:r>
      <w:r>
        <w:rPr>
          <w:color w:val="231F20"/>
          <w:spacing w:val="-6"/>
          <w:sz w:val="12"/>
        </w:rPr>
        <w:t>w</w:t>
      </w:r>
      <w:r>
        <w:rPr>
          <w:color w:val="231F20"/>
          <w:spacing w:val="-10"/>
          <w:sz w:val="12"/>
        </w:rPr>
        <w:t xml:space="preserve"> </w:t>
      </w:r>
      <w:r>
        <w:rPr>
          <w:color w:val="231F20"/>
          <w:spacing w:val="-6"/>
          <w:sz w:val="12"/>
        </w:rPr>
        <w:t>nowotworach</w:t>
      </w:r>
      <w:r>
        <w:rPr>
          <w:color w:val="231F20"/>
          <w:spacing w:val="-9"/>
          <w:sz w:val="12"/>
        </w:rPr>
        <w:t xml:space="preserve"> </w:t>
      </w:r>
      <w:r>
        <w:rPr>
          <w:color w:val="231F20"/>
          <w:spacing w:val="-6"/>
          <w:sz w:val="12"/>
        </w:rPr>
        <w:t>złośliwych.</w:t>
      </w:r>
      <w:r>
        <w:rPr>
          <w:color w:val="231F20"/>
          <w:spacing w:val="-10"/>
          <w:sz w:val="12"/>
        </w:rPr>
        <w:t xml:space="preserve"> </w:t>
      </w:r>
      <w:r>
        <w:rPr>
          <w:i/>
          <w:color w:val="231F20"/>
          <w:spacing w:val="-6"/>
          <w:sz w:val="12"/>
        </w:rPr>
        <w:t>Ginekologia</w:t>
      </w:r>
    </w:p>
    <w:p w:rsidR="004D54FF" w:rsidRPr="004D54FF" w:rsidRDefault="004D54FF" w:rsidP="004D54FF">
      <w:pPr>
        <w:rPr>
          <w:i/>
          <w:sz w:val="12"/>
        </w:rPr>
      </w:pPr>
      <w:r>
        <w:rPr>
          <w:i/>
          <w:sz w:val="12"/>
        </w:rPr>
        <w:t xml:space="preserve">         </w:t>
      </w:r>
      <w:r w:rsidRPr="004D54FF">
        <w:rPr>
          <w:i/>
          <w:sz w:val="12"/>
        </w:rPr>
        <w:t>Polska 2013; 84: 720-725</w:t>
      </w:r>
    </w:p>
    <w:p w:rsidR="004D54FF" w:rsidRPr="004D54FF" w:rsidRDefault="004D54FF" w:rsidP="004D54FF">
      <w:pPr>
        <w:rPr>
          <w:i/>
          <w:sz w:val="12"/>
        </w:rPr>
      </w:pPr>
      <w:r>
        <w:rPr>
          <w:i/>
          <w:sz w:val="12"/>
        </w:rPr>
        <w:t xml:space="preserve">      </w:t>
      </w:r>
      <w:r w:rsidRPr="004D54FF">
        <w:rPr>
          <w:i/>
          <w:sz w:val="12"/>
        </w:rPr>
        <w:t>9.</w:t>
      </w:r>
      <w:r w:rsidRPr="004D54FF">
        <w:rPr>
          <w:i/>
          <w:sz w:val="12"/>
        </w:rPr>
        <w:tab/>
        <w:t>American Cancer Society. Test for Ovarian Cancer/How is Ovarian Cancer Diagnosed?</w:t>
      </w:r>
      <w:r w:rsidR="00772508" w:rsidRPr="00772508">
        <w:t xml:space="preserve"> </w:t>
      </w:r>
      <w:r w:rsidR="00772508" w:rsidRPr="00772508">
        <w:rPr>
          <w:i/>
          <w:sz w:val="12"/>
        </w:rPr>
        <w:t>https</w:t>
      </w:r>
      <w:proofErr w:type="gramStart"/>
      <w:r w:rsidR="00772508" w:rsidRPr="00772508">
        <w:rPr>
          <w:i/>
          <w:sz w:val="12"/>
        </w:rPr>
        <w:t>:// www</w:t>
      </w:r>
      <w:proofErr w:type="gramEnd"/>
      <w:r w:rsidR="00772508" w:rsidRPr="00772508">
        <w:rPr>
          <w:i/>
          <w:sz w:val="12"/>
        </w:rPr>
        <w:t>.</w:t>
      </w:r>
      <w:proofErr w:type="gramStart"/>
      <w:r w:rsidR="00772508" w:rsidRPr="00772508">
        <w:rPr>
          <w:i/>
          <w:sz w:val="12"/>
        </w:rPr>
        <w:t>cancer</w:t>
      </w:r>
      <w:proofErr w:type="gramEnd"/>
      <w:r w:rsidR="00772508" w:rsidRPr="00772508">
        <w:rPr>
          <w:i/>
          <w:sz w:val="12"/>
        </w:rPr>
        <w:t xml:space="preserve">. </w:t>
      </w:r>
      <w:proofErr w:type="gramStart"/>
      <w:r w:rsidR="00772508" w:rsidRPr="00772508">
        <w:rPr>
          <w:i/>
          <w:sz w:val="12"/>
        </w:rPr>
        <w:t>org</w:t>
      </w:r>
      <w:proofErr w:type="gramEnd"/>
      <w:r w:rsidR="00772508" w:rsidRPr="00772508">
        <w:rPr>
          <w:i/>
          <w:sz w:val="12"/>
        </w:rPr>
        <w:t>./</w:t>
      </w:r>
    </w:p>
    <w:p w:rsidR="004D54FF" w:rsidRPr="004D54FF" w:rsidRDefault="004D54FF" w:rsidP="004D54FF">
      <w:pPr>
        <w:rPr>
          <w:i/>
          <w:sz w:val="12"/>
        </w:rPr>
      </w:pPr>
      <w:r>
        <w:rPr>
          <w:i/>
          <w:sz w:val="12"/>
        </w:rPr>
        <w:t xml:space="preserve">      </w:t>
      </w:r>
      <w:proofErr w:type="gramStart"/>
      <w:r w:rsidRPr="004D54FF">
        <w:rPr>
          <w:i/>
          <w:sz w:val="12"/>
        </w:rPr>
        <w:t>grudzień</w:t>
      </w:r>
      <w:proofErr w:type="gramEnd"/>
      <w:r w:rsidRPr="004D54FF">
        <w:rPr>
          <w:i/>
          <w:sz w:val="12"/>
        </w:rPr>
        <w:t xml:space="preserve"> 2024</w:t>
      </w:r>
    </w:p>
    <w:p w:rsidR="00772508" w:rsidRDefault="00772508" w:rsidP="00772508">
      <w:pPr>
        <w:rPr>
          <w:i/>
          <w:sz w:val="12"/>
        </w:rPr>
      </w:pPr>
      <w:r>
        <w:rPr>
          <w:i/>
          <w:sz w:val="12"/>
        </w:rPr>
        <w:t xml:space="preserve">      </w:t>
      </w:r>
    </w:p>
    <w:p w:rsidR="00772508" w:rsidRDefault="00772508" w:rsidP="00772508">
      <w:pPr>
        <w:rPr>
          <w:i/>
          <w:sz w:val="12"/>
        </w:rPr>
      </w:pPr>
      <w:r w:rsidRPr="00772508">
        <w:rPr>
          <w:i/>
          <w:sz w:val="12"/>
        </w:rPr>
        <w:t>About the Authors</w:t>
      </w:r>
    </w:p>
    <w:p w:rsidR="00772508" w:rsidRDefault="00772508" w:rsidP="00772508">
      <w:pPr>
        <w:rPr>
          <w:i/>
          <w:sz w:val="12"/>
        </w:rPr>
      </w:pPr>
      <w:r w:rsidRPr="00772508">
        <w:rPr>
          <w:i/>
          <w:sz w:val="12"/>
        </w:rPr>
        <w:t xml:space="preserve">Monika Lużyńska – a certified optician, optometrist, iridologist, and journeyman naturopath. Member of the International Iridology Practitioners Association. For 17 years, she </w:t>
      </w:r>
      <w:proofErr w:type="gramStart"/>
      <w:r w:rsidRPr="00772508">
        <w:rPr>
          <w:i/>
          <w:sz w:val="12"/>
        </w:rPr>
        <w:t>has co-managed</w:t>
      </w:r>
      <w:proofErr w:type="gramEnd"/>
      <w:r w:rsidRPr="00772508">
        <w:rPr>
          <w:i/>
          <w:sz w:val="12"/>
        </w:rPr>
        <w:t xml:space="preserve"> a family-owned optical practice in Pińczów. In her professional practice, she combines optometry with classical, behavioral, Rayid, and integrated iridology, as well as elements of naturopathy.</w:t>
      </w:r>
    </w:p>
    <w:p w:rsidR="008F50F5" w:rsidRPr="00FC76E4" w:rsidRDefault="00772508" w:rsidP="00772508">
      <w:pPr>
        <w:rPr>
          <w:i/>
          <w:sz w:val="12"/>
        </w:rPr>
        <w:sectPr w:rsidR="008F50F5" w:rsidRPr="00FC76E4">
          <w:type w:val="continuous"/>
          <w:pgSz w:w="13040" w:h="17010"/>
          <w:pgMar w:top="0" w:right="566" w:bottom="0" w:left="566" w:header="708" w:footer="708" w:gutter="0"/>
          <w:cols w:num="2" w:space="708" w:equalWidth="0">
            <w:col w:w="5920" w:space="40"/>
            <w:col w:w="5948"/>
          </w:cols>
        </w:sectPr>
      </w:pPr>
      <w:r w:rsidRPr="00772508">
        <w:rPr>
          <w:i/>
          <w:sz w:val="12"/>
        </w:rPr>
        <w:t>Krzysztof Kwela – a medical doctor specializing in general surgery and holding a European specialization in urology. In 1999, he established the first private urology clinic in Poland in Świecie, near Bydgoszcz. In 2007, the clinic expanded its services to include aesthetic and regenerative medicine procedures, particularly those concerning intimate areas, as well as trichology. In his practice, he combines conventional academic medicine with alternative medicine, including iridology and Eastern medicine.</w:t>
      </w:r>
    </w:p>
    <w:p w:rsidR="008F50F5" w:rsidRDefault="008F50F5" w:rsidP="00772508">
      <w:pPr>
        <w:spacing w:line="133" w:lineRule="exact"/>
        <w:ind w:left="201"/>
        <w:rPr>
          <w:sz w:val="12"/>
        </w:rPr>
        <w:sectPr w:rsidR="008F50F5">
          <w:type w:val="continuous"/>
          <w:pgSz w:w="13040" w:h="17010"/>
          <w:pgMar w:top="0" w:right="566" w:bottom="0" w:left="566" w:header="708" w:footer="708" w:gutter="0"/>
          <w:cols w:num="3" w:space="708" w:equalWidth="0">
            <w:col w:w="5919" w:space="40"/>
            <w:col w:w="3899" w:space="20"/>
            <w:col w:w="2030"/>
          </w:cols>
        </w:sectPr>
      </w:pPr>
    </w:p>
    <w:p w:rsidR="00772508" w:rsidRDefault="009A305D" w:rsidP="00772508">
      <w:pPr>
        <w:spacing w:line="95" w:lineRule="exact"/>
        <w:ind w:left="199"/>
        <w:jc w:val="both"/>
        <w:rPr>
          <w:color w:val="231F20"/>
          <w:spacing w:val="-4"/>
          <w:sz w:val="13"/>
        </w:rPr>
      </w:pPr>
      <w:r>
        <w:lastRenderedPageBreak/>
        <w:br w:type="column"/>
      </w:r>
    </w:p>
    <w:p w:rsidR="008F50F5" w:rsidRDefault="008F50F5">
      <w:pPr>
        <w:spacing w:line="254" w:lineRule="auto"/>
        <w:jc w:val="both"/>
        <w:rPr>
          <w:sz w:val="13"/>
        </w:rPr>
        <w:sectPr w:rsidR="008F50F5">
          <w:type w:val="continuous"/>
          <w:pgSz w:w="13040" w:h="17010"/>
          <w:pgMar w:top="0" w:right="566" w:bottom="0" w:left="566" w:header="708" w:footer="708" w:gutter="0"/>
          <w:cols w:num="2" w:space="708" w:equalWidth="0">
            <w:col w:w="5919" w:space="40"/>
            <w:col w:w="5949"/>
          </w:cols>
        </w:sectPr>
      </w:pPr>
    </w:p>
    <w:p w:rsidR="008F50F5" w:rsidRDefault="008F50F5">
      <w:pPr>
        <w:pStyle w:val="Tekstpodstawowy"/>
        <w:rPr>
          <w:sz w:val="13"/>
        </w:rPr>
      </w:pPr>
    </w:p>
    <w:p w:rsidR="008F50F5" w:rsidRDefault="008F50F5">
      <w:pPr>
        <w:pStyle w:val="Tekstpodstawowy"/>
        <w:spacing w:before="4"/>
        <w:rPr>
          <w:sz w:val="13"/>
        </w:rPr>
      </w:pPr>
    </w:p>
    <w:p w:rsidR="008F50F5" w:rsidRDefault="00772508">
      <w:pPr>
        <w:ind w:left="674"/>
        <w:rPr>
          <w:sz w:val="13"/>
        </w:rPr>
      </w:pPr>
      <w:r>
        <w:rPr>
          <w:color w:val="231F20"/>
          <w:w w:val="75"/>
          <w:sz w:val="12"/>
        </w:rPr>
        <w:t xml:space="preserve">                                                                                                                                                                                                                                                                                                                                                                                                                           </w:t>
      </w:r>
      <w:r w:rsidR="009A305D">
        <w:rPr>
          <w:color w:val="231F20"/>
          <w:w w:val="75"/>
          <w:sz w:val="12"/>
        </w:rPr>
        <w:t>OPTYKA</w:t>
      </w:r>
      <w:r w:rsidR="009A305D">
        <w:rPr>
          <w:color w:val="231F20"/>
          <w:spacing w:val="35"/>
          <w:sz w:val="12"/>
        </w:rPr>
        <w:t xml:space="preserve"> </w:t>
      </w:r>
      <w:r w:rsidR="009A305D">
        <w:rPr>
          <w:color w:val="231F20"/>
          <w:spacing w:val="-2"/>
          <w:sz w:val="13"/>
        </w:rPr>
        <w:t>2(93)2025</w:t>
      </w:r>
    </w:p>
    <w:sectPr w:rsidR="008F50F5">
      <w:type w:val="continuous"/>
      <w:pgSz w:w="13040" w:h="17010"/>
      <w:pgMar w:top="0" w:right="566" w:bottom="0" w:left="56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panose1 w:val="020B0502020104020203"/>
    <w:charset w:val="EE"/>
    <w:family w:val="swiss"/>
    <w:pitch w:val="variable"/>
    <w:sig w:usb0="00000007" w:usb1="00000000" w:usb2="00000000" w:usb3="00000000" w:csb0="00000003"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133C5"/>
    <w:multiLevelType w:val="hybridMultilevel"/>
    <w:tmpl w:val="993AE2CE"/>
    <w:lvl w:ilvl="0" w:tplc="ADB21A94">
      <w:start w:val="1"/>
      <w:numFmt w:val="decimal"/>
      <w:lvlText w:val="%1."/>
      <w:lvlJc w:val="left"/>
      <w:pPr>
        <w:ind w:left="539" w:hanging="171"/>
        <w:jc w:val="right"/>
      </w:pPr>
      <w:rPr>
        <w:rFonts w:ascii="Gill Sans MT" w:eastAsia="Gill Sans MT" w:hAnsi="Gill Sans MT" w:cs="Gill Sans MT" w:hint="default"/>
        <w:b w:val="0"/>
        <w:bCs w:val="0"/>
        <w:i w:val="0"/>
        <w:iCs w:val="0"/>
        <w:color w:val="231F20"/>
        <w:spacing w:val="-6"/>
        <w:w w:val="114"/>
        <w:sz w:val="19"/>
        <w:szCs w:val="19"/>
        <w:lang w:val="pl-PL" w:eastAsia="en-US" w:bidi="ar-SA"/>
      </w:rPr>
    </w:lvl>
    <w:lvl w:ilvl="1" w:tplc="E5B019B8">
      <w:numFmt w:val="bullet"/>
      <w:lvlText w:val="•"/>
      <w:lvlJc w:val="left"/>
      <w:pPr>
        <w:ind w:left="1097" w:hanging="171"/>
      </w:pPr>
      <w:rPr>
        <w:rFonts w:hint="default"/>
        <w:lang w:val="pl-PL" w:eastAsia="en-US" w:bidi="ar-SA"/>
      </w:rPr>
    </w:lvl>
    <w:lvl w:ilvl="2" w:tplc="1684195E">
      <w:numFmt w:val="bullet"/>
      <w:lvlText w:val="•"/>
      <w:lvlJc w:val="left"/>
      <w:pPr>
        <w:ind w:left="1655" w:hanging="171"/>
      </w:pPr>
      <w:rPr>
        <w:rFonts w:hint="default"/>
        <w:lang w:val="pl-PL" w:eastAsia="en-US" w:bidi="ar-SA"/>
      </w:rPr>
    </w:lvl>
    <w:lvl w:ilvl="3" w:tplc="9C6C48BE">
      <w:numFmt w:val="bullet"/>
      <w:lvlText w:val="•"/>
      <w:lvlJc w:val="left"/>
      <w:pPr>
        <w:ind w:left="2213" w:hanging="171"/>
      </w:pPr>
      <w:rPr>
        <w:rFonts w:hint="default"/>
        <w:lang w:val="pl-PL" w:eastAsia="en-US" w:bidi="ar-SA"/>
      </w:rPr>
    </w:lvl>
    <w:lvl w:ilvl="4" w:tplc="317CE0BE">
      <w:numFmt w:val="bullet"/>
      <w:lvlText w:val="•"/>
      <w:lvlJc w:val="left"/>
      <w:pPr>
        <w:ind w:left="2771" w:hanging="171"/>
      </w:pPr>
      <w:rPr>
        <w:rFonts w:hint="default"/>
        <w:lang w:val="pl-PL" w:eastAsia="en-US" w:bidi="ar-SA"/>
      </w:rPr>
    </w:lvl>
    <w:lvl w:ilvl="5" w:tplc="78108E56">
      <w:numFmt w:val="bullet"/>
      <w:lvlText w:val="•"/>
      <w:lvlJc w:val="left"/>
      <w:pPr>
        <w:ind w:left="3329" w:hanging="171"/>
      </w:pPr>
      <w:rPr>
        <w:rFonts w:hint="default"/>
        <w:lang w:val="pl-PL" w:eastAsia="en-US" w:bidi="ar-SA"/>
      </w:rPr>
    </w:lvl>
    <w:lvl w:ilvl="6" w:tplc="FCD0701A">
      <w:numFmt w:val="bullet"/>
      <w:lvlText w:val="•"/>
      <w:lvlJc w:val="left"/>
      <w:pPr>
        <w:ind w:left="3886" w:hanging="171"/>
      </w:pPr>
      <w:rPr>
        <w:rFonts w:hint="default"/>
        <w:lang w:val="pl-PL" w:eastAsia="en-US" w:bidi="ar-SA"/>
      </w:rPr>
    </w:lvl>
    <w:lvl w:ilvl="7" w:tplc="0B88A64E">
      <w:numFmt w:val="bullet"/>
      <w:lvlText w:val="•"/>
      <w:lvlJc w:val="left"/>
      <w:pPr>
        <w:ind w:left="4444" w:hanging="171"/>
      </w:pPr>
      <w:rPr>
        <w:rFonts w:hint="default"/>
        <w:lang w:val="pl-PL" w:eastAsia="en-US" w:bidi="ar-SA"/>
      </w:rPr>
    </w:lvl>
    <w:lvl w:ilvl="8" w:tplc="8944817E">
      <w:numFmt w:val="bullet"/>
      <w:lvlText w:val="•"/>
      <w:lvlJc w:val="left"/>
      <w:pPr>
        <w:ind w:left="5002" w:hanging="171"/>
      </w:pPr>
      <w:rPr>
        <w:rFonts w:hint="default"/>
        <w:lang w:val="pl-PL" w:eastAsia="en-US" w:bidi="ar-SA"/>
      </w:rPr>
    </w:lvl>
  </w:abstractNum>
  <w:abstractNum w:abstractNumId="1">
    <w:nsid w:val="2D611943"/>
    <w:multiLevelType w:val="hybridMultilevel"/>
    <w:tmpl w:val="B9C66A24"/>
    <w:lvl w:ilvl="0" w:tplc="41E65FA6">
      <w:start w:val="1"/>
      <w:numFmt w:val="decimal"/>
      <w:lvlText w:val="%1."/>
      <w:lvlJc w:val="left"/>
      <w:pPr>
        <w:ind w:left="310" w:hanging="110"/>
        <w:jc w:val="left"/>
      </w:pPr>
      <w:rPr>
        <w:rFonts w:ascii="Gill Sans MT" w:eastAsia="Gill Sans MT" w:hAnsi="Gill Sans MT" w:cs="Gill Sans MT" w:hint="default"/>
        <w:b w:val="0"/>
        <w:bCs w:val="0"/>
        <w:i w:val="0"/>
        <w:iCs w:val="0"/>
        <w:color w:val="231F20"/>
        <w:spacing w:val="-4"/>
        <w:w w:val="110"/>
        <w:sz w:val="10"/>
        <w:szCs w:val="10"/>
        <w:lang w:val="pl-PL" w:eastAsia="en-US" w:bidi="ar-SA"/>
      </w:rPr>
    </w:lvl>
    <w:lvl w:ilvl="1" w:tplc="D012C604">
      <w:numFmt w:val="bullet"/>
      <w:lvlText w:val="•"/>
      <w:lvlJc w:val="left"/>
      <w:pPr>
        <w:ind w:left="882" w:hanging="110"/>
      </w:pPr>
      <w:rPr>
        <w:rFonts w:hint="default"/>
        <w:lang w:val="pl-PL" w:eastAsia="en-US" w:bidi="ar-SA"/>
      </w:rPr>
    </w:lvl>
    <w:lvl w:ilvl="2" w:tplc="36FE1DCA">
      <w:numFmt w:val="bullet"/>
      <w:lvlText w:val="•"/>
      <w:lvlJc w:val="left"/>
      <w:pPr>
        <w:ind w:left="1445" w:hanging="110"/>
      </w:pPr>
      <w:rPr>
        <w:rFonts w:hint="default"/>
        <w:lang w:val="pl-PL" w:eastAsia="en-US" w:bidi="ar-SA"/>
      </w:rPr>
    </w:lvl>
    <w:lvl w:ilvl="3" w:tplc="3A30C1A8">
      <w:numFmt w:val="bullet"/>
      <w:lvlText w:val="•"/>
      <w:lvlJc w:val="left"/>
      <w:pPr>
        <w:ind w:left="2008" w:hanging="110"/>
      </w:pPr>
      <w:rPr>
        <w:rFonts w:hint="default"/>
        <w:lang w:val="pl-PL" w:eastAsia="en-US" w:bidi="ar-SA"/>
      </w:rPr>
    </w:lvl>
    <w:lvl w:ilvl="4" w:tplc="F31AAE66">
      <w:numFmt w:val="bullet"/>
      <w:lvlText w:val="•"/>
      <w:lvlJc w:val="left"/>
      <w:pPr>
        <w:ind w:left="2571" w:hanging="110"/>
      </w:pPr>
      <w:rPr>
        <w:rFonts w:hint="default"/>
        <w:lang w:val="pl-PL" w:eastAsia="en-US" w:bidi="ar-SA"/>
      </w:rPr>
    </w:lvl>
    <w:lvl w:ilvl="5" w:tplc="FAEA9DD4">
      <w:numFmt w:val="bullet"/>
      <w:lvlText w:val="•"/>
      <w:lvlJc w:val="left"/>
      <w:pPr>
        <w:ind w:left="3134" w:hanging="110"/>
      </w:pPr>
      <w:rPr>
        <w:rFonts w:hint="default"/>
        <w:lang w:val="pl-PL" w:eastAsia="en-US" w:bidi="ar-SA"/>
      </w:rPr>
    </w:lvl>
    <w:lvl w:ilvl="6" w:tplc="3AFAD59E">
      <w:numFmt w:val="bullet"/>
      <w:lvlText w:val="•"/>
      <w:lvlJc w:val="left"/>
      <w:pPr>
        <w:ind w:left="3696" w:hanging="110"/>
      </w:pPr>
      <w:rPr>
        <w:rFonts w:hint="default"/>
        <w:lang w:val="pl-PL" w:eastAsia="en-US" w:bidi="ar-SA"/>
      </w:rPr>
    </w:lvl>
    <w:lvl w:ilvl="7" w:tplc="9DBA7BD2">
      <w:numFmt w:val="bullet"/>
      <w:lvlText w:val="•"/>
      <w:lvlJc w:val="left"/>
      <w:pPr>
        <w:ind w:left="4259" w:hanging="110"/>
      </w:pPr>
      <w:rPr>
        <w:rFonts w:hint="default"/>
        <w:lang w:val="pl-PL" w:eastAsia="en-US" w:bidi="ar-SA"/>
      </w:rPr>
    </w:lvl>
    <w:lvl w:ilvl="8" w:tplc="913046D2">
      <w:numFmt w:val="bullet"/>
      <w:lvlText w:val="•"/>
      <w:lvlJc w:val="left"/>
      <w:pPr>
        <w:ind w:left="4822" w:hanging="110"/>
      </w:pPr>
      <w:rPr>
        <w:rFonts w:hint="default"/>
        <w:lang w:val="pl-PL" w:eastAsia="en-US" w:bidi="ar-SA"/>
      </w:rPr>
    </w:lvl>
  </w:abstractNum>
  <w:abstractNum w:abstractNumId="2">
    <w:nsid w:val="34D9385A"/>
    <w:multiLevelType w:val="hybridMultilevel"/>
    <w:tmpl w:val="37FC3242"/>
    <w:lvl w:ilvl="0" w:tplc="577C8AC0">
      <w:numFmt w:val="bullet"/>
      <w:lvlText w:val="•"/>
      <w:lvlJc w:val="left"/>
      <w:pPr>
        <w:ind w:left="539" w:hanging="171"/>
      </w:pPr>
      <w:rPr>
        <w:rFonts w:ascii="Gill Sans MT" w:eastAsia="Gill Sans MT" w:hAnsi="Gill Sans MT" w:cs="Gill Sans MT" w:hint="default"/>
        <w:b w:val="0"/>
        <w:bCs w:val="0"/>
        <w:i w:val="0"/>
        <w:iCs w:val="0"/>
        <w:color w:val="231F20"/>
        <w:spacing w:val="0"/>
        <w:w w:val="145"/>
        <w:sz w:val="19"/>
        <w:szCs w:val="19"/>
        <w:lang w:val="pl-PL" w:eastAsia="en-US" w:bidi="ar-SA"/>
      </w:rPr>
    </w:lvl>
    <w:lvl w:ilvl="1" w:tplc="9426F1FC">
      <w:numFmt w:val="bullet"/>
      <w:lvlText w:val="•"/>
      <w:lvlJc w:val="left"/>
      <w:pPr>
        <w:ind w:left="1097" w:hanging="171"/>
      </w:pPr>
      <w:rPr>
        <w:rFonts w:hint="default"/>
        <w:lang w:val="pl-PL" w:eastAsia="en-US" w:bidi="ar-SA"/>
      </w:rPr>
    </w:lvl>
    <w:lvl w:ilvl="2" w:tplc="17AA181A">
      <w:numFmt w:val="bullet"/>
      <w:lvlText w:val="•"/>
      <w:lvlJc w:val="left"/>
      <w:pPr>
        <w:ind w:left="1655" w:hanging="171"/>
      </w:pPr>
      <w:rPr>
        <w:rFonts w:hint="default"/>
        <w:lang w:val="pl-PL" w:eastAsia="en-US" w:bidi="ar-SA"/>
      </w:rPr>
    </w:lvl>
    <w:lvl w:ilvl="3" w:tplc="217285C2">
      <w:numFmt w:val="bullet"/>
      <w:lvlText w:val="•"/>
      <w:lvlJc w:val="left"/>
      <w:pPr>
        <w:ind w:left="2213" w:hanging="171"/>
      </w:pPr>
      <w:rPr>
        <w:rFonts w:hint="default"/>
        <w:lang w:val="pl-PL" w:eastAsia="en-US" w:bidi="ar-SA"/>
      </w:rPr>
    </w:lvl>
    <w:lvl w:ilvl="4" w:tplc="09A66FB2">
      <w:numFmt w:val="bullet"/>
      <w:lvlText w:val="•"/>
      <w:lvlJc w:val="left"/>
      <w:pPr>
        <w:ind w:left="2771" w:hanging="171"/>
      </w:pPr>
      <w:rPr>
        <w:rFonts w:hint="default"/>
        <w:lang w:val="pl-PL" w:eastAsia="en-US" w:bidi="ar-SA"/>
      </w:rPr>
    </w:lvl>
    <w:lvl w:ilvl="5" w:tplc="65FC0070">
      <w:numFmt w:val="bullet"/>
      <w:lvlText w:val="•"/>
      <w:lvlJc w:val="left"/>
      <w:pPr>
        <w:ind w:left="3329" w:hanging="171"/>
      </w:pPr>
      <w:rPr>
        <w:rFonts w:hint="default"/>
        <w:lang w:val="pl-PL" w:eastAsia="en-US" w:bidi="ar-SA"/>
      </w:rPr>
    </w:lvl>
    <w:lvl w:ilvl="6" w:tplc="22741164">
      <w:numFmt w:val="bullet"/>
      <w:lvlText w:val="•"/>
      <w:lvlJc w:val="left"/>
      <w:pPr>
        <w:ind w:left="3886" w:hanging="171"/>
      </w:pPr>
      <w:rPr>
        <w:rFonts w:hint="default"/>
        <w:lang w:val="pl-PL" w:eastAsia="en-US" w:bidi="ar-SA"/>
      </w:rPr>
    </w:lvl>
    <w:lvl w:ilvl="7" w:tplc="68863316">
      <w:numFmt w:val="bullet"/>
      <w:lvlText w:val="•"/>
      <w:lvlJc w:val="left"/>
      <w:pPr>
        <w:ind w:left="4444" w:hanging="171"/>
      </w:pPr>
      <w:rPr>
        <w:rFonts w:hint="default"/>
        <w:lang w:val="pl-PL" w:eastAsia="en-US" w:bidi="ar-SA"/>
      </w:rPr>
    </w:lvl>
    <w:lvl w:ilvl="8" w:tplc="1B0867F4">
      <w:numFmt w:val="bullet"/>
      <w:lvlText w:val="•"/>
      <w:lvlJc w:val="left"/>
      <w:pPr>
        <w:ind w:left="5002" w:hanging="171"/>
      </w:pPr>
      <w:rPr>
        <w:rFonts w:hint="default"/>
        <w:lang w:val="pl-PL"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F50F5"/>
    <w:rsid w:val="00040B90"/>
    <w:rsid w:val="00215CE5"/>
    <w:rsid w:val="00296855"/>
    <w:rsid w:val="003D7724"/>
    <w:rsid w:val="004D54FF"/>
    <w:rsid w:val="00540D1B"/>
    <w:rsid w:val="00772508"/>
    <w:rsid w:val="007727EE"/>
    <w:rsid w:val="008F50F5"/>
    <w:rsid w:val="009A305D"/>
    <w:rsid w:val="00A70F8E"/>
    <w:rsid w:val="00BB1E29"/>
    <w:rsid w:val="00C20D72"/>
    <w:rsid w:val="00C3755C"/>
    <w:rsid w:val="00C87B9A"/>
    <w:rsid w:val="00CE3551"/>
    <w:rsid w:val="00FC76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Gill Sans MT" w:eastAsia="Gill Sans MT" w:hAnsi="Gill Sans MT" w:cs="Gill Sans MT"/>
      <w:lang w:val="pl-PL"/>
    </w:rPr>
  </w:style>
  <w:style w:type="paragraph" w:styleId="Nagwek1">
    <w:name w:val="heading 1"/>
    <w:basedOn w:val="Normalny"/>
    <w:uiPriority w:val="1"/>
    <w:qFormat/>
    <w:pPr>
      <w:spacing w:before="200"/>
      <w:ind w:left="199"/>
      <w:outlineLvl w:val="0"/>
    </w:pPr>
    <w:rPr>
      <w:rFonts w:ascii="Trebuchet MS" w:eastAsia="Trebuchet MS" w:hAnsi="Trebuchet MS" w:cs="Trebuchet MS"/>
    </w:rPr>
  </w:style>
  <w:style w:type="paragraph" w:styleId="Nagwek2">
    <w:name w:val="heading 2"/>
    <w:basedOn w:val="Normalny"/>
    <w:uiPriority w:val="1"/>
    <w:qFormat/>
    <w:pPr>
      <w:ind w:left="454"/>
      <w:jc w:val="both"/>
      <w:outlineLvl w:val="1"/>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9"/>
      <w:szCs w:val="19"/>
    </w:rPr>
  </w:style>
  <w:style w:type="paragraph" w:styleId="Akapitzlist">
    <w:name w:val="List Paragraph"/>
    <w:basedOn w:val="Normalny"/>
    <w:uiPriority w:val="1"/>
    <w:qFormat/>
    <w:pPr>
      <w:spacing w:before="15"/>
      <w:ind w:left="538" w:hanging="169"/>
    </w:pPr>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C87B9A"/>
    <w:rPr>
      <w:rFonts w:ascii="Tahoma" w:hAnsi="Tahoma" w:cs="Tahoma"/>
      <w:sz w:val="16"/>
      <w:szCs w:val="16"/>
    </w:rPr>
  </w:style>
  <w:style w:type="character" w:customStyle="1" w:styleId="TekstdymkaZnak">
    <w:name w:val="Tekst dymka Znak"/>
    <w:basedOn w:val="Domylnaczcionkaakapitu"/>
    <w:link w:val="Tekstdymka"/>
    <w:uiPriority w:val="99"/>
    <w:semiHidden/>
    <w:rsid w:val="00C87B9A"/>
    <w:rPr>
      <w:rFonts w:ascii="Tahoma" w:eastAsia="Gill Sans MT" w:hAnsi="Tahoma" w:cs="Tahoma"/>
      <w:sz w:val="16"/>
      <w:szCs w:val="16"/>
      <w:lang w:val="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Gill Sans MT" w:eastAsia="Gill Sans MT" w:hAnsi="Gill Sans MT" w:cs="Gill Sans MT"/>
      <w:lang w:val="pl-PL"/>
    </w:rPr>
  </w:style>
  <w:style w:type="paragraph" w:styleId="Nagwek1">
    <w:name w:val="heading 1"/>
    <w:basedOn w:val="Normalny"/>
    <w:uiPriority w:val="1"/>
    <w:qFormat/>
    <w:pPr>
      <w:spacing w:before="200"/>
      <w:ind w:left="199"/>
      <w:outlineLvl w:val="0"/>
    </w:pPr>
    <w:rPr>
      <w:rFonts w:ascii="Trebuchet MS" w:eastAsia="Trebuchet MS" w:hAnsi="Trebuchet MS" w:cs="Trebuchet MS"/>
    </w:rPr>
  </w:style>
  <w:style w:type="paragraph" w:styleId="Nagwek2">
    <w:name w:val="heading 2"/>
    <w:basedOn w:val="Normalny"/>
    <w:uiPriority w:val="1"/>
    <w:qFormat/>
    <w:pPr>
      <w:ind w:left="454"/>
      <w:jc w:val="both"/>
      <w:outlineLvl w:val="1"/>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9"/>
      <w:szCs w:val="19"/>
    </w:rPr>
  </w:style>
  <w:style w:type="paragraph" w:styleId="Akapitzlist">
    <w:name w:val="List Paragraph"/>
    <w:basedOn w:val="Normalny"/>
    <w:uiPriority w:val="1"/>
    <w:qFormat/>
    <w:pPr>
      <w:spacing w:before="15"/>
      <w:ind w:left="538" w:hanging="169"/>
    </w:pPr>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C87B9A"/>
    <w:rPr>
      <w:rFonts w:ascii="Tahoma" w:hAnsi="Tahoma" w:cs="Tahoma"/>
      <w:sz w:val="16"/>
      <w:szCs w:val="16"/>
    </w:rPr>
  </w:style>
  <w:style w:type="character" w:customStyle="1" w:styleId="TekstdymkaZnak">
    <w:name w:val="Tekst dymka Znak"/>
    <w:basedOn w:val="Domylnaczcionkaakapitu"/>
    <w:link w:val="Tekstdymka"/>
    <w:uiPriority w:val="99"/>
    <w:semiHidden/>
    <w:rsid w:val="00C87B9A"/>
    <w:rPr>
      <w:rFonts w:ascii="Tahoma" w:eastAsia="Gill Sans MT" w:hAnsi="Tahoma" w:cs="Tahoma"/>
      <w:sz w:val="16"/>
      <w:szCs w:val="16"/>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5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0.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1924</Words>
  <Characters>11547</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Jacek</cp:lastModifiedBy>
  <cp:revision>2</cp:revision>
  <dcterms:created xsi:type="dcterms:W3CDTF">2026-07-01T09:18:00Z</dcterms:created>
  <dcterms:modified xsi:type="dcterms:W3CDTF">2026-07-01T09:18:00Z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v10.0.19910.1</vt:lpwstr>
  </property>
  <property fmtid="{D5CDD505-2E9C-101B-9397-08002B2CF9AE}" pid="3" name="Created">
    <vt:filetime>2025-03-10T00:00:00Z</vt:filetime>
  </property>
  <property fmtid="{D5CDD505-2E9C-101B-9397-08002B2CF9AE}" pid="4" name="Creator">
    <vt:lpwstr>Adobe InDesign CS5.5 (7.5.3)</vt:lpwstr>
  </property>
  <property fmtid="{D5CDD505-2E9C-101B-9397-08002B2CF9AE}" pid="5" name="LastSaved">
    <vt:filetime>2026-06-25T00:00:00Z</vt:filetime>
  </property>
  <property fmtid="{D5CDD505-2E9C-101B-9397-08002B2CF9AE}" pid="6" name="Producer">
    <vt:lpwstr>Adobe PDF Library 9.9</vt:lpwstr>
  </property>
</Properties>
</file>